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F13F8" w:rsidRDefault="00F92268" w:rsidP="00850792">
      <w:pPr>
        <w:pStyle w:val="BodyText"/>
        <w:rPr>
          <w:sz w:val="6"/>
          <w:szCs w:val="6"/>
        </w:rPr>
      </w:pPr>
      <w:r w:rsidRPr="00FF13F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F13F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F13F8" w:rsidRDefault="00F92268" w:rsidP="00F246C7">
            <w:pPr>
              <w:pStyle w:val="RefTableData"/>
            </w:pPr>
            <w:r w:rsidRPr="00FF13F8">
              <w:t>Reference number(s)</w:t>
            </w:r>
          </w:p>
        </w:tc>
      </w:tr>
      <w:tr w:rsidR="00F92268" w:rsidRPr="00FF13F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2097A07" w:rsidR="00FD69E8" w:rsidRPr="00FF13F8" w:rsidRDefault="00FD69E8" w:rsidP="00FF13F8">
            <w:pPr>
              <w:pStyle w:val="RefTableHeader"/>
            </w:pPr>
            <w:r w:rsidRPr="00FF13F8">
              <w:t>1734-A</w:t>
            </w:r>
          </w:p>
        </w:tc>
      </w:tr>
    </w:tbl>
    <w:p w14:paraId="74FBA5B4" w14:textId="77777777" w:rsidR="00051356" w:rsidRPr="00FF13F8" w:rsidRDefault="00051356" w:rsidP="00A672B3">
      <w:pPr>
        <w:pStyle w:val="BodyText"/>
        <w:rPr>
          <w:b/>
          <w:bCs/>
          <w:sz w:val="16"/>
          <w:szCs w:val="16"/>
        </w:rPr>
        <w:sectPr w:rsidR="00051356" w:rsidRPr="00FF13F8" w:rsidSect="00E842A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4E9DB7C" w14:textId="0FCC1490" w:rsidR="00FD69E8" w:rsidRPr="00FF13F8" w:rsidRDefault="00FD69E8" w:rsidP="00992809">
      <w:pPr>
        <w:pStyle w:val="Heading1"/>
      </w:pPr>
      <w:r w:rsidRPr="00FF13F8">
        <w:t>Specialty Guideline Management</w:t>
      </w:r>
      <w:r w:rsidR="008C54D9" w:rsidRPr="00FF13F8">
        <w:br/>
      </w:r>
      <w:r w:rsidR="007D2E85">
        <w:t>o</w:t>
      </w:r>
      <w:r w:rsidRPr="00FF13F8">
        <w:t xml:space="preserve">ctreotide </w:t>
      </w:r>
      <w:r w:rsidR="007D2E85">
        <w:t>p</w:t>
      </w:r>
      <w:r w:rsidR="00455EA0">
        <w:t>roducts</w:t>
      </w:r>
    </w:p>
    <w:p w14:paraId="78861C92" w14:textId="14A4275C" w:rsidR="00203468" w:rsidRPr="00FF13F8" w:rsidRDefault="00C64534" w:rsidP="008E0F0D">
      <w:pPr>
        <w:pStyle w:val="Heading2"/>
      </w:pPr>
      <w:r w:rsidRPr="00FF13F8">
        <w:t xml:space="preserve">Products Referenced by this </w:t>
      </w:r>
      <w:r w:rsidR="00501602" w:rsidRPr="00FF13F8">
        <w:t>Document</w:t>
      </w:r>
    </w:p>
    <w:p w14:paraId="77359A84" w14:textId="0646DC08" w:rsidR="005B6DE7" w:rsidRDefault="00D82D85" w:rsidP="008B73E8">
      <w:pPr>
        <w:pStyle w:val="BodyText"/>
      </w:pPr>
      <w:r w:rsidRPr="00FF13F8">
        <w:t xml:space="preserve">Drugs that are listed in the </w:t>
      </w:r>
      <w:r w:rsidR="000315F1" w:rsidRPr="00FF13F8">
        <w:t>following table</w:t>
      </w:r>
      <w:r w:rsidRPr="00FF13F8">
        <w:t xml:space="preserve"> include both brand and generic and all dosage forms and strengths unless otherwise stated. </w:t>
      </w:r>
      <w:r w:rsidR="003E3ABE" w:rsidRPr="003E3ABE">
        <w:t>Over-the-counter (OTC)</w:t>
      </w:r>
      <w:r w:rsidRPr="00FF13F8">
        <w:t xml:space="preserve"> products are not included unless otherwise stated.</w:t>
      </w:r>
    </w:p>
    <w:tbl>
      <w:tblPr>
        <w:tblStyle w:val="TableGrid"/>
        <w:tblW w:w="1023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115"/>
        <w:gridCol w:w="5115"/>
      </w:tblGrid>
      <w:tr w:rsidR="005B6DE7" w14:paraId="6B1777CA" w14:textId="77777777" w:rsidTr="00C4266D">
        <w:trPr>
          <w:cantSplit/>
          <w:trHeight w:val="288"/>
          <w:tblHeader/>
        </w:trPr>
        <w:tc>
          <w:tcPr>
            <w:tcW w:w="5115" w:type="dxa"/>
            <w:vAlign w:val="center"/>
            <w:hideMark/>
          </w:tcPr>
          <w:p w14:paraId="41E225F2" w14:textId="77777777" w:rsidR="005B6DE7" w:rsidRDefault="005B6DE7">
            <w:pPr>
              <w:pStyle w:val="TableHeader"/>
            </w:pPr>
            <w:r>
              <w:t>Brand Name</w:t>
            </w:r>
          </w:p>
        </w:tc>
        <w:tc>
          <w:tcPr>
            <w:tcW w:w="5115" w:type="dxa"/>
            <w:hideMark/>
          </w:tcPr>
          <w:p w14:paraId="1BD69EF1" w14:textId="77777777" w:rsidR="005B6DE7" w:rsidRDefault="005B6DE7">
            <w:pPr>
              <w:pStyle w:val="TableHeader"/>
            </w:pPr>
            <w:r>
              <w:t>Generic Name</w:t>
            </w:r>
          </w:p>
        </w:tc>
      </w:tr>
      <w:tr w:rsidR="005B6DE7" w14:paraId="078DCA55" w14:textId="77777777" w:rsidTr="00C4266D">
        <w:trPr>
          <w:cantSplit/>
        </w:trPr>
        <w:tc>
          <w:tcPr>
            <w:tcW w:w="5115" w:type="dxa"/>
            <w:hideMark/>
          </w:tcPr>
          <w:p w14:paraId="7E5B792A" w14:textId="30FD6DE8" w:rsidR="005B6DE7" w:rsidRDefault="005B6DE7" w:rsidP="00A34D4C">
            <w:pPr>
              <w:pStyle w:val="TableDataUnpadded"/>
            </w:pPr>
            <w:r w:rsidRPr="00FF13F8">
              <w:t>Sandostatin</w:t>
            </w:r>
          </w:p>
        </w:tc>
        <w:tc>
          <w:tcPr>
            <w:tcW w:w="5115" w:type="dxa"/>
            <w:hideMark/>
          </w:tcPr>
          <w:p w14:paraId="164438F8" w14:textId="257ECBC9" w:rsidR="005B6DE7" w:rsidRDefault="005B6DE7" w:rsidP="00A34D4C">
            <w:pPr>
              <w:pStyle w:val="TableDataUnpadded"/>
            </w:pPr>
            <w:r w:rsidRPr="00813091">
              <w:t xml:space="preserve">octreotide acetate </w:t>
            </w:r>
            <w:r>
              <w:t>injection</w:t>
            </w:r>
          </w:p>
        </w:tc>
      </w:tr>
      <w:tr w:rsidR="005B6DE7" w14:paraId="0676673C" w14:textId="77777777" w:rsidTr="00C4266D">
        <w:trPr>
          <w:cantSplit/>
        </w:trPr>
        <w:tc>
          <w:tcPr>
            <w:tcW w:w="5115" w:type="dxa"/>
            <w:hideMark/>
          </w:tcPr>
          <w:p w14:paraId="6597C384" w14:textId="6EF52110" w:rsidR="005B6DE7" w:rsidRDefault="005B6DE7" w:rsidP="00A34D4C">
            <w:pPr>
              <w:pStyle w:val="TableDataUnpadded"/>
            </w:pPr>
            <w:r w:rsidRPr="00FF13F8">
              <w:t>Bynfezia Pen</w:t>
            </w:r>
          </w:p>
        </w:tc>
        <w:tc>
          <w:tcPr>
            <w:tcW w:w="5115" w:type="dxa"/>
            <w:hideMark/>
          </w:tcPr>
          <w:p w14:paraId="0A349857" w14:textId="2C2E825E" w:rsidR="005B6DE7" w:rsidRDefault="005B6DE7" w:rsidP="00A34D4C">
            <w:pPr>
              <w:pStyle w:val="TableDataUnpadded"/>
            </w:pPr>
            <w:r w:rsidRPr="00FF13F8">
              <w:t>octreotide acetate</w:t>
            </w:r>
            <w:r>
              <w:t xml:space="preserve"> injection</w:t>
            </w:r>
          </w:p>
        </w:tc>
      </w:tr>
      <w:tr w:rsidR="005B6DE7" w14:paraId="14C1732F" w14:textId="77777777" w:rsidTr="00C4266D">
        <w:trPr>
          <w:cantSplit/>
        </w:trPr>
        <w:tc>
          <w:tcPr>
            <w:tcW w:w="5115" w:type="dxa"/>
          </w:tcPr>
          <w:p w14:paraId="09BEF063" w14:textId="4D025201" w:rsidR="005B6DE7" w:rsidRDefault="005B6DE7" w:rsidP="00A34D4C">
            <w:pPr>
              <w:pStyle w:val="TableDataUnpadded"/>
            </w:pPr>
            <w:r w:rsidRPr="00FF13F8">
              <w:t>Mycapssa</w:t>
            </w:r>
          </w:p>
        </w:tc>
        <w:tc>
          <w:tcPr>
            <w:tcW w:w="5115" w:type="dxa"/>
          </w:tcPr>
          <w:p w14:paraId="7D18B458" w14:textId="2C59311A" w:rsidR="005B6DE7" w:rsidRDefault="005B6DE7" w:rsidP="00A34D4C">
            <w:pPr>
              <w:pStyle w:val="TableDataUnpadded"/>
            </w:pPr>
            <w:r w:rsidRPr="00FF13F8">
              <w:t>octreotide delayed</w:t>
            </w:r>
            <w:r>
              <w:t>-release capsule</w:t>
            </w:r>
          </w:p>
        </w:tc>
      </w:tr>
      <w:tr w:rsidR="005B6DE7" w14:paraId="36A4025F" w14:textId="77777777" w:rsidTr="00C4266D">
        <w:trPr>
          <w:cantSplit/>
        </w:trPr>
        <w:tc>
          <w:tcPr>
            <w:tcW w:w="5115" w:type="dxa"/>
          </w:tcPr>
          <w:p w14:paraId="395C9884" w14:textId="1176414B" w:rsidR="005B6DE7" w:rsidRDefault="005B6DE7" w:rsidP="00A34D4C">
            <w:pPr>
              <w:pStyle w:val="TableDataUnpadded"/>
            </w:pPr>
            <w:r w:rsidRPr="00FF13F8">
              <w:t>Sandostatin L</w:t>
            </w:r>
            <w:r w:rsidR="00113CBE">
              <w:t>AR</w:t>
            </w:r>
            <w:r w:rsidRPr="00FF13F8">
              <w:t xml:space="preserve"> Depot</w:t>
            </w:r>
          </w:p>
        </w:tc>
        <w:tc>
          <w:tcPr>
            <w:tcW w:w="5115" w:type="dxa"/>
          </w:tcPr>
          <w:p w14:paraId="3053D9B8" w14:textId="03290503" w:rsidR="005B6DE7" w:rsidRDefault="005B6DE7" w:rsidP="00A34D4C">
            <w:pPr>
              <w:pStyle w:val="TableDataUnpadded"/>
            </w:pPr>
            <w:r w:rsidRPr="00FF13F8">
              <w:t xml:space="preserve">octreotide acetate </w:t>
            </w:r>
            <w:r>
              <w:t>for injectable suspension</w:t>
            </w:r>
          </w:p>
        </w:tc>
      </w:tr>
    </w:tbl>
    <w:p w14:paraId="14CE6108" w14:textId="441EF85B" w:rsidR="00FC1AAD" w:rsidRPr="00FF13F8" w:rsidRDefault="00ED052F" w:rsidP="00AA2A94">
      <w:pPr>
        <w:pStyle w:val="Heading2"/>
        <w:tabs>
          <w:tab w:val="left" w:pos="9540"/>
        </w:tabs>
      </w:pPr>
      <w:r w:rsidRPr="00FF13F8">
        <w:t>Indications</w:t>
      </w:r>
    </w:p>
    <w:p w14:paraId="2EDCEF5E" w14:textId="208F8DC6" w:rsidR="007709D1" w:rsidRPr="00FF13F8" w:rsidRDefault="007709D1" w:rsidP="007709D1">
      <w:pPr>
        <w:pStyle w:val="BodyText"/>
      </w:pPr>
      <w:r w:rsidRPr="00FF13F8">
        <w:t>The indications below including FDA-approved indications and compendial uses are considered a covered benefit provided that all the approval criteria are met and the member has no exclusions to the prescribed therapy.</w:t>
      </w:r>
    </w:p>
    <w:p w14:paraId="134B5687" w14:textId="3DF04185" w:rsidR="00ED052F" w:rsidRPr="00FF13F8" w:rsidRDefault="00ED052F" w:rsidP="00ED052F">
      <w:pPr>
        <w:pStyle w:val="Heading3"/>
        <w:keepNext w:val="0"/>
      </w:pPr>
      <w:r w:rsidRPr="00FF13F8">
        <w:t>FDA-</w:t>
      </w:r>
      <w:r w:rsidR="00036A7A">
        <w:t>a</w:t>
      </w:r>
      <w:r w:rsidRPr="00FF13F8">
        <w:t>pproved Indications</w:t>
      </w:r>
      <w:r w:rsidR="007709D1" w:rsidRPr="00B60A31">
        <w:rPr>
          <w:vertAlign w:val="superscript"/>
        </w:rPr>
        <w:t>1-3,3</w:t>
      </w:r>
      <w:r w:rsidR="00C458AA">
        <w:rPr>
          <w:vertAlign w:val="superscript"/>
        </w:rPr>
        <w:t>7</w:t>
      </w:r>
      <w:r w:rsidR="007709D1" w:rsidRPr="00B60A31">
        <w:rPr>
          <w:vertAlign w:val="superscript"/>
        </w:rPr>
        <w:t>,3</w:t>
      </w:r>
      <w:r w:rsidR="00C458AA">
        <w:rPr>
          <w:vertAlign w:val="superscript"/>
        </w:rPr>
        <w:t>8</w:t>
      </w:r>
      <w:r w:rsidR="00AB6277">
        <w:rPr>
          <w:vertAlign w:val="superscript"/>
        </w:rPr>
        <w:t>,4</w:t>
      </w:r>
      <w:r w:rsidR="000E125E">
        <w:rPr>
          <w:vertAlign w:val="superscript"/>
        </w:rPr>
        <w:t>0</w:t>
      </w:r>
    </w:p>
    <w:p w14:paraId="77A57DAD" w14:textId="00B39D16" w:rsidR="007709D1" w:rsidRPr="00B60A31" w:rsidRDefault="007709D1" w:rsidP="00B60A31">
      <w:pPr>
        <w:pStyle w:val="ListParagraph"/>
        <w:numPr>
          <w:ilvl w:val="0"/>
          <w:numId w:val="40"/>
        </w:numPr>
        <w:rPr>
          <w:lang w:val="it-IT"/>
        </w:rPr>
      </w:pPr>
      <w:r w:rsidRPr="00B60A31">
        <w:rPr>
          <w:lang w:val="it-IT"/>
        </w:rPr>
        <w:t>Sandostatin/Bynfezia Pen</w:t>
      </w:r>
      <w:r w:rsidR="00532103">
        <w:rPr>
          <w:lang w:val="it-IT"/>
        </w:rPr>
        <w:t>/</w:t>
      </w:r>
      <w:r w:rsidR="00532103" w:rsidRPr="00532103">
        <w:rPr>
          <w:lang w:val="it-IT"/>
        </w:rPr>
        <w:t xml:space="preserve"> </w:t>
      </w:r>
      <w:r w:rsidR="00532103" w:rsidRPr="00B60A31">
        <w:rPr>
          <w:lang w:val="it-IT"/>
        </w:rPr>
        <w:t>octreotide acetate</w:t>
      </w:r>
      <w:r w:rsidR="00532103">
        <w:rPr>
          <w:lang w:val="it-IT"/>
        </w:rPr>
        <w:t xml:space="preserve"> injection</w:t>
      </w:r>
      <w:r w:rsidRPr="00B60A31">
        <w:rPr>
          <w:lang w:val="it-IT"/>
        </w:rPr>
        <w:t>:</w:t>
      </w:r>
    </w:p>
    <w:p w14:paraId="7E0983B1" w14:textId="77777777" w:rsidR="007709D1" w:rsidRPr="00B60A31" w:rsidRDefault="007709D1" w:rsidP="00F236EA">
      <w:pPr>
        <w:pStyle w:val="ListParagraph"/>
        <w:keepLines/>
        <w:widowControl w:val="0"/>
        <w:numPr>
          <w:ilvl w:val="1"/>
          <w:numId w:val="40"/>
        </w:numPr>
      </w:pPr>
      <w:r w:rsidRPr="00B60A31">
        <w:t>Indicated to reduce blood levels of growth hormone (GH) and insulin growth factor-1 (IGF-1; somatomedin C) in acromegaly patients who have had inadequate response to or cannot be treated with surgical resection, pituitary irradiation, and bromocriptine mesylate at maximally tolerated doses.</w:t>
      </w:r>
    </w:p>
    <w:p w14:paraId="4E0E16D5" w14:textId="77777777" w:rsidR="007709D1" w:rsidRPr="00B60A31" w:rsidRDefault="007709D1" w:rsidP="00B60A31">
      <w:pPr>
        <w:pStyle w:val="ListParagraph"/>
        <w:numPr>
          <w:ilvl w:val="1"/>
          <w:numId w:val="40"/>
        </w:numPr>
      </w:pPr>
      <w:r w:rsidRPr="00B60A31">
        <w:t>Indicated for the symptomatic treatment of patients with metastatic carcinoid tumors where it suppresses or inhibits the severe diarrhea and flushing episodes associated with the disease.</w:t>
      </w:r>
    </w:p>
    <w:p w14:paraId="39F8FB9F" w14:textId="0D8EDB33" w:rsidR="007709D1" w:rsidRPr="00B60A31" w:rsidRDefault="007709D1" w:rsidP="00B60A31">
      <w:pPr>
        <w:pStyle w:val="ListParagraph"/>
        <w:numPr>
          <w:ilvl w:val="1"/>
          <w:numId w:val="40"/>
        </w:numPr>
      </w:pPr>
      <w:r w:rsidRPr="00B60A31">
        <w:t>Indicated for the treatment of the profuse watery diarrhea associated with vasoactive intestinal peptide (VIP)-secreting tumors.</w:t>
      </w:r>
    </w:p>
    <w:p w14:paraId="085DA797" w14:textId="3785B5CB" w:rsidR="006F71F9" w:rsidRPr="00B60A31" w:rsidRDefault="006F71F9" w:rsidP="00B60A31">
      <w:pPr>
        <w:pStyle w:val="ListParagraph"/>
        <w:numPr>
          <w:ilvl w:val="0"/>
          <w:numId w:val="40"/>
        </w:numPr>
      </w:pPr>
      <w:r w:rsidRPr="00B60A31">
        <w:lastRenderedPageBreak/>
        <w:t>Sandostatin LAR</w:t>
      </w:r>
      <w:r w:rsidR="005B6DE7">
        <w:t>/octre</w:t>
      </w:r>
      <w:r w:rsidR="00532103">
        <w:t>otide acetate for injectable suspension</w:t>
      </w:r>
      <w:r w:rsidRPr="00B60A31">
        <w:t>: Sandostatin LAR Depot</w:t>
      </w:r>
      <w:r w:rsidR="00532103">
        <w:t xml:space="preserve"> and octreotide acetate for injectable suspension are indicated in patients who</w:t>
      </w:r>
      <w:r w:rsidR="00107343">
        <w:t xml:space="preserve"> have respo</w:t>
      </w:r>
      <w:r w:rsidR="00D12659">
        <w:t>n</w:t>
      </w:r>
      <w:r w:rsidR="00107343">
        <w:t xml:space="preserve">ded to and tolerated </w:t>
      </w:r>
      <w:r w:rsidR="00532103">
        <w:t xml:space="preserve">Sandostatin Injection/octreotide acetate injection </w:t>
      </w:r>
      <w:r w:rsidR="00107343">
        <w:t>for:</w:t>
      </w:r>
    </w:p>
    <w:p w14:paraId="0EA19A83" w14:textId="79443E11" w:rsidR="006F71F9" w:rsidRPr="00B60A31" w:rsidRDefault="006F71F9" w:rsidP="00B60A31">
      <w:pPr>
        <w:pStyle w:val="ListParagraph"/>
        <w:numPr>
          <w:ilvl w:val="1"/>
          <w:numId w:val="40"/>
        </w:numPr>
      </w:pPr>
      <w:r w:rsidRPr="00B60A31">
        <w:t>Long-term maintenance therapy in acromegalic patients who have had an inadequate response to surgery and/or radiotherapy, or for whom surgery and/or radiotherapy is not an option.</w:t>
      </w:r>
      <w:r w:rsidR="00107343">
        <w:t xml:space="preserve"> </w:t>
      </w:r>
      <w:r w:rsidR="00107343" w:rsidRPr="00107343">
        <w:t>The goal of treatment in acromegaly is to reduce GH and IGF-1 levels to normal</w:t>
      </w:r>
      <w:r w:rsidR="00107343">
        <w:t>.</w:t>
      </w:r>
    </w:p>
    <w:p w14:paraId="68B15EAA" w14:textId="77777777" w:rsidR="006F71F9" w:rsidRPr="00B60A31" w:rsidRDefault="006F71F9" w:rsidP="00B60A31">
      <w:pPr>
        <w:pStyle w:val="ListParagraph"/>
        <w:numPr>
          <w:ilvl w:val="1"/>
          <w:numId w:val="40"/>
        </w:numPr>
      </w:pPr>
      <w:r w:rsidRPr="00B60A31">
        <w:t>Long-term treatment of the severe diarrhea and flushing episodes associated with metastatic carcinoid tumors.</w:t>
      </w:r>
    </w:p>
    <w:p w14:paraId="0F555489" w14:textId="7789A01B" w:rsidR="006F71F9" w:rsidRDefault="006F71F9" w:rsidP="00B60A31">
      <w:pPr>
        <w:pStyle w:val="ListParagraph"/>
        <w:numPr>
          <w:ilvl w:val="1"/>
          <w:numId w:val="40"/>
        </w:numPr>
      </w:pPr>
      <w:r w:rsidRPr="00B60A31">
        <w:t>Long-term treatment of the profuse watery diarrhea associated with vasoactive intestinal peptide (VIP)-secreting tumors.</w:t>
      </w:r>
    </w:p>
    <w:p w14:paraId="2A2E4E31" w14:textId="643304EA" w:rsidR="003F21CF" w:rsidRDefault="00107343">
      <w:pPr>
        <w:ind w:left="1080"/>
      </w:pPr>
      <w:r w:rsidRPr="00B16658">
        <w:rPr>
          <w:b/>
          <w:bCs/>
        </w:rPr>
        <w:t xml:space="preserve">Limitations of </w:t>
      </w:r>
      <w:r w:rsidR="003F21CF">
        <w:rPr>
          <w:b/>
          <w:bCs/>
        </w:rPr>
        <w:t>U</w:t>
      </w:r>
      <w:r w:rsidRPr="00B16658">
        <w:rPr>
          <w:b/>
          <w:bCs/>
        </w:rPr>
        <w:t>se:</w:t>
      </w:r>
    </w:p>
    <w:p w14:paraId="7DDA65F2" w14:textId="7C06C130" w:rsidR="00107343" w:rsidRPr="00B60A31" w:rsidRDefault="00107343" w:rsidP="00B16658">
      <w:pPr>
        <w:ind w:left="1080"/>
      </w:pPr>
      <w:r w:rsidRPr="00107343">
        <w:t>In patients with carcinoid syndrome and VIPomas, the effect of Sandostatin Injection and Sandostatin LAR</w:t>
      </w:r>
      <w:r>
        <w:t xml:space="preserve"> Depot</w:t>
      </w:r>
      <w:r w:rsidRPr="00107343">
        <w:t xml:space="preserve"> on tumor size, rate of growth and development of metastases, has not been determined.</w:t>
      </w:r>
    </w:p>
    <w:p w14:paraId="3058A5F8" w14:textId="73AB7410" w:rsidR="005C778C" w:rsidRPr="00B60A31" w:rsidRDefault="006F71F9" w:rsidP="00B60A31">
      <w:pPr>
        <w:pStyle w:val="ListParagraph"/>
        <w:numPr>
          <w:ilvl w:val="0"/>
          <w:numId w:val="40"/>
        </w:numPr>
      </w:pPr>
      <w:r w:rsidRPr="00B60A31">
        <w:t>Mycapssa is indicated for long-term maintenance treatment in acromegaly patients who have responded to and tolerated treatment with octreotide or lanreotide.</w:t>
      </w:r>
    </w:p>
    <w:p w14:paraId="1375DA3D" w14:textId="2D4CA9CC" w:rsidR="004B75D0" w:rsidRPr="00FF13F8" w:rsidRDefault="009F2EF1" w:rsidP="004B75D0">
      <w:pPr>
        <w:pStyle w:val="Heading3"/>
      </w:pPr>
      <w:r w:rsidRPr="00FF13F8">
        <w:t>Compendial Uses</w:t>
      </w:r>
      <w:r w:rsidR="004B75D0" w:rsidRPr="00FF13F8">
        <w:t xml:space="preserve"> (applies to injectable products)</w:t>
      </w:r>
    </w:p>
    <w:p w14:paraId="3A87C1BE" w14:textId="50E6D034" w:rsidR="004B75D0" w:rsidRPr="00B60A31" w:rsidRDefault="004B75D0" w:rsidP="00B60A31">
      <w:pPr>
        <w:pStyle w:val="ListParagraph"/>
        <w:numPr>
          <w:ilvl w:val="0"/>
          <w:numId w:val="42"/>
        </w:numPr>
      </w:pPr>
      <w:r w:rsidRPr="00B60A31">
        <w:t>Neuroendocrine tumors (NETs):</w:t>
      </w:r>
      <w:r w:rsidRPr="00B60A31">
        <w:rPr>
          <w:vertAlign w:val="superscript"/>
        </w:rPr>
        <w:t>4,</w:t>
      </w:r>
      <w:r w:rsidR="0044514C">
        <w:rPr>
          <w:vertAlign w:val="superscript"/>
        </w:rPr>
        <w:t>39</w:t>
      </w:r>
    </w:p>
    <w:p w14:paraId="72788C85" w14:textId="77777777" w:rsidR="004B75D0" w:rsidRPr="00B60A31" w:rsidRDefault="004B75D0" w:rsidP="00B60A31">
      <w:pPr>
        <w:pStyle w:val="ListParagraph"/>
        <w:numPr>
          <w:ilvl w:val="1"/>
          <w:numId w:val="43"/>
        </w:numPr>
      </w:pPr>
      <w:r w:rsidRPr="00B60A31">
        <w:t>Tumors of the gastrointestinal (GI) tract, lung, and thymus (carcinoid tumors)</w:t>
      </w:r>
    </w:p>
    <w:p w14:paraId="15B3BADD" w14:textId="77777777" w:rsidR="004B75D0" w:rsidRPr="00B60A31" w:rsidRDefault="004B75D0" w:rsidP="00B60A31">
      <w:pPr>
        <w:pStyle w:val="ListParagraph"/>
        <w:numPr>
          <w:ilvl w:val="1"/>
          <w:numId w:val="43"/>
        </w:numPr>
      </w:pPr>
      <w:r w:rsidRPr="00B60A31">
        <w:t>Tumors of the pancreas (islet cell tumors)</w:t>
      </w:r>
    </w:p>
    <w:p w14:paraId="2780660F" w14:textId="2B145D2B" w:rsidR="004B75D0" w:rsidRPr="00B60A31" w:rsidRDefault="004B75D0" w:rsidP="00B60A31">
      <w:pPr>
        <w:pStyle w:val="ListParagraph"/>
        <w:numPr>
          <w:ilvl w:val="1"/>
          <w:numId w:val="43"/>
        </w:numPr>
      </w:pPr>
      <w:r w:rsidRPr="00B60A31">
        <w:t>Gastroenteropancreatic neuroendocrine tumors (GEP-NETs)</w:t>
      </w:r>
    </w:p>
    <w:p w14:paraId="09466AAC" w14:textId="77777777" w:rsidR="004B75D0" w:rsidRPr="00B60A31" w:rsidRDefault="004B75D0" w:rsidP="00B60A31">
      <w:pPr>
        <w:pStyle w:val="ListParagraph"/>
        <w:numPr>
          <w:ilvl w:val="0"/>
          <w:numId w:val="42"/>
        </w:numPr>
      </w:pPr>
      <w:r w:rsidRPr="00B60A31">
        <w:t>Pheochromocytoma and paraganglioma</w:t>
      </w:r>
      <w:r w:rsidRPr="00B60A31">
        <w:rPr>
          <w:vertAlign w:val="superscript"/>
        </w:rPr>
        <w:t>4</w:t>
      </w:r>
    </w:p>
    <w:p w14:paraId="6D76EDB9" w14:textId="204DCA26" w:rsidR="004B75D0" w:rsidRPr="00B60A31" w:rsidRDefault="004B75D0" w:rsidP="00B60A31">
      <w:pPr>
        <w:pStyle w:val="ListParagraph"/>
        <w:numPr>
          <w:ilvl w:val="0"/>
          <w:numId w:val="42"/>
        </w:numPr>
      </w:pPr>
      <w:r w:rsidRPr="00B60A31">
        <w:t>Thymomas and thymic carcinomas</w:t>
      </w:r>
      <w:r w:rsidRPr="00B60A31">
        <w:rPr>
          <w:vertAlign w:val="superscript"/>
        </w:rPr>
        <w:t>4,3</w:t>
      </w:r>
      <w:r w:rsidR="0044514C">
        <w:rPr>
          <w:vertAlign w:val="superscript"/>
        </w:rPr>
        <w:t>4</w:t>
      </w:r>
    </w:p>
    <w:p w14:paraId="068AB69D" w14:textId="483D5FF8" w:rsidR="004B75D0" w:rsidRPr="00B60A31" w:rsidRDefault="004B75D0" w:rsidP="00B60A31">
      <w:pPr>
        <w:pStyle w:val="ListParagraph"/>
        <w:numPr>
          <w:ilvl w:val="0"/>
          <w:numId w:val="42"/>
        </w:numPr>
      </w:pPr>
      <w:r w:rsidRPr="00B60A31">
        <w:t>Congenital hyperinsulinism (CHI)/persistent hyperinsulinemic hypoglycemia of infancy (PHHI)(octreotide and Sandostatin only)</w:t>
      </w:r>
    </w:p>
    <w:p w14:paraId="128C67CD" w14:textId="6BC228F6" w:rsidR="004B75D0" w:rsidRPr="00B60A31" w:rsidRDefault="004B75D0" w:rsidP="00B60A31">
      <w:pPr>
        <w:pStyle w:val="ListParagraph"/>
        <w:numPr>
          <w:ilvl w:val="0"/>
          <w:numId w:val="42"/>
        </w:numPr>
      </w:pPr>
      <w:r w:rsidRPr="00B60A31">
        <w:t>Acquired immune deficiency syndrome (AIDS)-associated diarrhea</w:t>
      </w:r>
      <w:r w:rsidRPr="00B60A31">
        <w:rPr>
          <w:vertAlign w:val="superscript"/>
        </w:rPr>
        <w:t>1</w:t>
      </w:r>
      <w:r w:rsidR="00316A37">
        <w:rPr>
          <w:vertAlign w:val="superscript"/>
        </w:rPr>
        <w:t>2</w:t>
      </w:r>
      <w:r w:rsidRPr="00B60A31">
        <w:rPr>
          <w:vertAlign w:val="superscript"/>
        </w:rPr>
        <w:t>,1</w:t>
      </w:r>
      <w:r w:rsidR="00316A37">
        <w:rPr>
          <w:vertAlign w:val="superscript"/>
        </w:rPr>
        <w:t>3</w:t>
      </w:r>
      <w:r w:rsidRPr="00B60A31">
        <w:rPr>
          <w:vertAlign w:val="superscript"/>
        </w:rPr>
        <w:t>,3</w:t>
      </w:r>
      <w:r w:rsidR="00316A37">
        <w:rPr>
          <w:vertAlign w:val="superscript"/>
        </w:rPr>
        <w:t>1</w:t>
      </w:r>
    </w:p>
    <w:p w14:paraId="2F76D0E1" w14:textId="34595407" w:rsidR="004B75D0" w:rsidRPr="00B60A31" w:rsidRDefault="004B75D0" w:rsidP="00B60A31">
      <w:pPr>
        <w:pStyle w:val="ListParagraph"/>
        <w:numPr>
          <w:ilvl w:val="0"/>
          <w:numId w:val="42"/>
        </w:numPr>
      </w:pPr>
      <w:r w:rsidRPr="00B60A31">
        <w:t>Inoperable bowel obstruction</w:t>
      </w:r>
      <w:r w:rsidRPr="00B60A31">
        <w:rPr>
          <w:vertAlign w:val="superscript"/>
        </w:rPr>
        <w:t>1</w:t>
      </w:r>
      <w:r w:rsidR="00162D4E">
        <w:rPr>
          <w:vertAlign w:val="superscript"/>
        </w:rPr>
        <w:t>4</w:t>
      </w:r>
      <w:r w:rsidRPr="00B60A31">
        <w:rPr>
          <w:vertAlign w:val="superscript"/>
        </w:rPr>
        <w:t>-1</w:t>
      </w:r>
      <w:r w:rsidR="00162D4E">
        <w:rPr>
          <w:vertAlign w:val="superscript"/>
        </w:rPr>
        <w:t>6</w:t>
      </w:r>
      <w:r w:rsidRPr="00B60A31">
        <w:rPr>
          <w:vertAlign w:val="superscript"/>
        </w:rPr>
        <w:t>,3</w:t>
      </w:r>
      <w:r w:rsidR="00162D4E">
        <w:rPr>
          <w:vertAlign w:val="superscript"/>
        </w:rPr>
        <w:t>2</w:t>
      </w:r>
    </w:p>
    <w:p w14:paraId="7C38246C" w14:textId="742A7185" w:rsidR="004B75D0" w:rsidRPr="00B60A31" w:rsidRDefault="004B75D0" w:rsidP="00B60A31">
      <w:pPr>
        <w:pStyle w:val="ListParagraph"/>
        <w:numPr>
          <w:ilvl w:val="0"/>
          <w:numId w:val="42"/>
        </w:numPr>
      </w:pPr>
      <w:r w:rsidRPr="00B60A31">
        <w:t>Cancer-related diarrhea</w:t>
      </w:r>
      <w:r w:rsidRPr="00B60A31">
        <w:rPr>
          <w:vertAlign w:val="superscript"/>
        </w:rPr>
        <w:t>1</w:t>
      </w:r>
      <w:r w:rsidR="00E134E8">
        <w:rPr>
          <w:vertAlign w:val="superscript"/>
        </w:rPr>
        <w:t>1</w:t>
      </w:r>
    </w:p>
    <w:p w14:paraId="10DA3787" w14:textId="649C8406" w:rsidR="004B75D0" w:rsidRPr="00B60A31" w:rsidRDefault="004B75D0" w:rsidP="00B60A31">
      <w:pPr>
        <w:pStyle w:val="ListParagraph"/>
        <w:numPr>
          <w:ilvl w:val="0"/>
          <w:numId w:val="42"/>
        </w:numPr>
      </w:pPr>
      <w:r w:rsidRPr="00B60A31">
        <w:t>Enterocutaneous fistula</w:t>
      </w:r>
      <w:r w:rsidRPr="00B60A31">
        <w:rPr>
          <w:vertAlign w:val="superscript"/>
        </w:rPr>
        <w:t>1</w:t>
      </w:r>
      <w:r w:rsidR="00E134E8">
        <w:rPr>
          <w:vertAlign w:val="superscript"/>
        </w:rPr>
        <w:t>7</w:t>
      </w:r>
      <w:r w:rsidRPr="00B60A31">
        <w:rPr>
          <w:vertAlign w:val="superscript"/>
        </w:rPr>
        <w:t>-</w:t>
      </w:r>
      <w:r w:rsidR="00E134E8">
        <w:rPr>
          <w:vertAlign w:val="superscript"/>
        </w:rPr>
        <w:t>19</w:t>
      </w:r>
      <w:r w:rsidRPr="00B60A31">
        <w:rPr>
          <w:vertAlign w:val="superscript"/>
        </w:rPr>
        <w:t>,2</w:t>
      </w:r>
      <w:r w:rsidR="006E1827">
        <w:rPr>
          <w:vertAlign w:val="superscript"/>
        </w:rPr>
        <w:t>6</w:t>
      </w:r>
    </w:p>
    <w:p w14:paraId="1E90E5ED" w14:textId="2CEBAA11" w:rsidR="004B75D0" w:rsidRPr="00B60A31" w:rsidRDefault="004B75D0" w:rsidP="00B60A31">
      <w:pPr>
        <w:pStyle w:val="ListParagraph"/>
        <w:numPr>
          <w:ilvl w:val="0"/>
          <w:numId w:val="42"/>
        </w:numPr>
      </w:pPr>
      <w:r w:rsidRPr="00B60A31">
        <w:t>Gastroesophageal varices</w:t>
      </w:r>
      <w:r w:rsidRPr="00B60A31">
        <w:rPr>
          <w:vertAlign w:val="superscript"/>
        </w:rPr>
        <w:t>2</w:t>
      </w:r>
      <w:r w:rsidR="00576E1F">
        <w:rPr>
          <w:vertAlign w:val="superscript"/>
        </w:rPr>
        <w:t>0</w:t>
      </w:r>
      <w:r w:rsidRPr="00B60A31">
        <w:rPr>
          <w:vertAlign w:val="superscript"/>
        </w:rPr>
        <w:t>-2</w:t>
      </w:r>
      <w:r w:rsidR="00576E1F">
        <w:rPr>
          <w:vertAlign w:val="superscript"/>
        </w:rPr>
        <w:t>5</w:t>
      </w:r>
    </w:p>
    <w:p w14:paraId="37D16B32" w14:textId="3D2AC55C" w:rsidR="004B75D0" w:rsidRPr="00B60A31" w:rsidRDefault="004B75D0" w:rsidP="00B60A31">
      <w:pPr>
        <w:pStyle w:val="ListParagraph"/>
        <w:numPr>
          <w:ilvl w:val="0"/>
          <w:numId w:val="42"/>
        </w:numPr>
      </w:pPr>
      <w:r w:rsidRPr="00B60A31">
        <w:t>Pancreatic fistulas</w:t>
      </w:r>
      <w:r w:rsidRPr="00B60A31">
        <w:rPr>
          <w:vertAlign w:val="superscript"/>
        </w:rPr>
        <w:t>2</w:t>
      </w:r>
      <w:r w:rsidR="00576E1F">
        <w:rPr>
          <w:vertAlign w:val="superscript"/>
        </w:rPr>
        <w:t>7</w:t>
      </w:r>
      <w:r w:rsidRPr="00B60A31">
        <w:rPr>
          <w:vertAlign w:val="superscript"/>
        </w:rPr>
        <w:t>-</w:t>
      </w:r>
      <w:r w:rsidR="00680D2B">
        <w:rPr>
          <w:vertAlign w:val="superscript"/>
        </w:rPr>
        <w:t>29</w:t>
      </w:r>
      <w:r w:rsidRPr="00B60A31">
        <w:rPr>
          <w:vertAlign w:val="superscript"/>
        </w:rPr>
        <w:t>,3</w:t>
      </w:r>
      <w:r w:rsidR="00680D2B">
        <w:rPr>
          <w:vertAlign w:val="superscript"/>
        </w:rPr>
        <w:t>5</w:t>
      </w:r>
      <w:r w:rsidRPr="00B60A31">
        <w:rPr>
          <w:vertAlign w:val="superscript"/>
        </w:rPr>
        <w:t>.3</w:t>
      </w:r>
      <w:r w:rsidR="00680D2B">
        <w:rPr>
          <w:vertAlign w:val="superscript"/>
        </w:rPr>
        <w:t>6</w:t>
      </w:r>
    </w:p>
    <w:p w14:paraId="780A3C8B" w14:textId="25456736" w:rsidR="004B75D0" w:rsidRPr="00B60A31" w:rsidRDefault="004B75D0" w:rsidP="00B60A31">
      <w:pPr>
        <w:pStyle w:val="ListParagraph"/>
        <w:numPr>
          <w:ilvl w:val="0"/>
          <w:numId w:val="42"/>
        </w:numPr>
      </w:pPr>
      <w:r w:rsidRPr="00B60A31">
        <w:t>Pituitary adenoma</w:t>
      </w:r>
      <w:r w:rsidR="00FF4164" w:rsidRPr="00FF4164">
        <w:rPr>
          <w:vertAlign w:val="superscript"/>
        </w:rPr>
        <w:t>9</w:t>
      </w:r>
      <w:r w:rsidRPr="00B60A31">
        <w:rPr>
          <w:vertAlign w:val="superscript"/>
        </w:rPr>
        <w:t>,3</w:t>
      </w:r>
      <w:r w:rsidR="00FF4164">
        <w:rPr>
          <w:vertAlign w:val="superscript"/>
        </w:rPr>
        <w:t>0</w:t>
      </w:r>
    </w:p>
    <w:p w14:paraId="3BC1A977" w14:textId="423F1CF0" w:rsidR="004B75D0" w:rsidRPr="00B60A31" w:rsidRDefault="004B75D0" w:rsidP="00B60A31">
      <w:pPr>
        <w:pStyle w:val="ListParagraph"/>
        <w:numPr>
          <w:ilvl w:val="0"/>
          <w:numId w:val="42"/>
        </w:numPr>
      </w:pPr>
      <w:r w:rsidRPr="00B60A31">
        <w:t>Short bowel syndrome</w:t>
      </w:r>
      <w:r w:rsidRPr="00B60A31">
        <w:rPr>
          <w:vertAlign w:val="superscript"/>
        </w:rPr>
        <w:t>1</w:t>
      </w:r>
      <w:r w:rsidR="00FF4164">
        <w:rPr>
          <w:vertAlign w:val="superscript"/>
        </w:rPr>
        <w:t>2</w:t>
      </w:r>
      <w:r w:rsidRPr="00B60A31">
        <w:rPr>
          <w:vertAlign w:val="superscript"/>
        </w:rPr>
        <w:t>,3</w:t>
      </w:r>
      <w:r w:rsidR="00FF4164">
        <w:rPr>
          <w:vertAlign w:val="superscript"/>
        </w:rPr>
        <w:t>1</w:t>
      </w:r>
      <w:r w:rsidRPr="00B60A31">
        <w:rPr>
          <w:vertAlign w:val="superscript"/>
        </w:rPr>
        <w:t>,3</w:t>
      </w:r>
      <w:r w:rsidR="00FF4164">
        <w:rPr>
          <w:vertAlign w:val="superscript"/>
        </w:rPr>
        <w:t>33</w:t>
      </w:r>
    </w:p>
    <w:p w14:paraId="36951E00" w14:textId="396AAE54" w:rsidR="004B75D0" w:rsidRDefault="004B75D0" w:rsidP="00D657C4">
      <w:pPr>
        <w:pStyle w:val="ListParagraph"/>
        <w:numPr>
          <w:ilvl w:val="0"/>
          <w:numId w:val="42"/>
        </w:numPr>
        <w:spacing w:after="120"/>
      </w:pPr>
      <w:r w:rsidRPr="00B60A31">
        <w:t>Zollinger-Ellison syndrome</w:t>
      </w:r>
      <w:r w:rsidR="00FF4164" w:rsidRPr="00BE0E31">
        <w:rPr>
          <w:vertAlign w:val="superscript"/>
        </w:rPr>
        <w:t>7</w:t>
      </w:r>
    </w:p>
    <w:p w14:paraId="2ADFDE8B" w14:textId="2355BB86" w:rsidR="00107343" w:rsidRPr="00B60A31" w:rsidRDefault="00107343" w:rsidP="00D657C4">
      <w:pPr>
        <w:pStyle w:val="ListParagraph"/>
        <w:numPr>
          <w:ilvl w:val="0"/>
          <w:numId w:val="42"/>
        </w:numPr>
        <w:spacing w:after="120"/>
      </w:pPr>
      <w:r>
        <w:t>Menin</w:t>
      </w:r>
      <w:r w:rsidR="00907AD7">
        <w:t>g</w:t>
      </w:r>
      <w:r>
        <w:t>iomas</w:t>
      </w:r>
      <w:r>
        <w:rPr>
          <w:vertAlign w:val="superscript"/>
        </w:rPr>
        <w:t>4</w:t>
      </w:r>
    </w:p>
    <w:p w14:paraId="0D5A9DD5" w14:textId="44B020F1" w:rsidR="009A5649" w:rsidRPr="00FF13F8" w:rsidRDefault="009A5649" w:rsidP="009A5649">
      <w:pPr>
        <w:pStyle w:val="BodyText"/>
        <w:rPr>
          <w:rFonts w:eastAsia="Arial"/>
        </w:rPr>
      </w:pPr>
      <w:r w:rsidRPr="00FF13F8">
        <w:t xml:space="preserve">All other indications are considered experimental/investigational and </w:t>
      </w:r>
      <w:r w:rsidRPr="00FF13F8">
        <w:rPr>
          <w:rFonts w:eastAsia="Arial"/>
        </w:rPr>
        <w:t>not medically necessary.</w:t>
      </w:r>
    </w:p>
    <w:p w14:paraId="36381B6D" w14:textId="0F10262A" w:rsidR="000D2496" w:rsidRPr="00FF13F8" w:rsidRDefault="000D2496" w:rsidP="000D2496">
      <w:pPr>
        <w:pStyle w:val="Heading2"/>
      </w:pPr>
      <w:r w:rsidRPr="00FF13F8">
        <w:t>Documentation</w:t>
      </w:r>
    </w:p>
    <w:p w14:paraId="2180ED6E" w14:textId="33EC8F26" w:rsidR="000D2496" w:rsidRPr="00FF13F8" w:rsidRDefault="000D2496" w:rsidP="000D2496">
      <w:pPr>
        <w:pStyle w:val="BodyText"/>
      </w:pPr>
      <w:r w:rsidRPr="00FF13F8">
        <w:t>Submission of the following information is necessary to initiate the prior authorization review:</w:t>
      </w:r>
    </w:p>
    <w:p w14:paraId="71E7E9DA" w14:textId="1285B02D" w:rsidR="00B57080" w:rsidRPr="00D657C4" w:rsidRDefault="00B57080" w:rsidP="00D657C4">
      <w:pPr>
        <w:pStyle w:val="ListParagraph"/>
        <w:numPr>
          <w:ilvl w:val="0"/>
          <w:numId w:val="45"/>
        </w:numPr>
      </w:pPr>
      <w:r w:rsidRPr="00D657C4">
        <w:t>For acromegaly:</w:t>
      </w:r>
    </w:p>
    <w:p w14:paraId="65BE749B" w14:textId="153C773B" w:rsidR="00B57080" w:rsidRPr="00D657C4" w:rsidRDefault="00B57080" w:rsidP="00D657C4">
      <w:pPr>
        <w:pStyle w:val="ListParagraph"/>
        <w:numPr>
          <w:ilvl w:val="1"/>
          <w:numId w:val="46"/>
        </w:numPr>
      </w:pPr>
      <w:r w:rsidRPr="00D657C4">
        <w:t>For initial approval: Laboratory report indicating high pretreatment insulin-like growth factor-1 (IGF-1) level and chart notes indicating an inadequate or partial response to surgery or radiotherapy or a clinical reason for not having surgery or radiotherapy.</w:t>
      </w:r>
    </w:p>
    <w:p w14:paraId="01E07573" w14:textId="568C578B" w:rsidR="00B57080" w:rsidRPr="00D657C4" w:rsidRDefault="00B57080" w:rsidP="00D657C4">
      <w:pPr>
        <w:pStyle w:val="ListParagraph"/>
        <w:numPr>
          <w:ilvl w:val="1"/>
          <w:numId w:val="46"/>
        </w:numPr>
      </w:pPr>
      <w:r w:rsidRPr="00D657C4">
        <w:t>For continuation: Laboratory report indicating normal current IGF-1 levels or chart notes indicating that the member’s IGF-1 level has decreased or normalized since initiation of therapy.</w:t>
      </w:r>
    </w:p>
    <w:p w14:paraId="6E24C4D6" w14:textId="4175E556" w:rsidR="00B57080" w:rsidRPr="00D657C4" w:rsidRDefault="00B57080" w:rsidP="00D657C4">
      <w:pPr>
        <w:pStyle w:val="ListParagraph"/>
        <w:numPr>
          <w:ilvl w:val="0"/>
          <w:numId w:val="45"/>
        </w:numPr>
      </w:pPr>
      <w:r w:rsidRPr="00D657C4">
        <w:t>Cancer-related diarrhea: Chart notes indicating grade 3 or 4 diarrhea.</w:t>
      </w:r>
    </w:p>
    <w:p w14:paraId="50A38FBA" w14:textId="4BB6BE6B" w:rsidR="00FE0C63" w:rsidRPr="00FF13F8" w:rsidRDefault="00685107" w:rsidP="00E050E1">
      <w:pPr>
        <w:pStyle w:val="Heading2"/>
      </w:pPr>
      <w:r w:rsidRPr="00FF13F8">
        <w:t>Coverage Criteria</w:t>
      </w:r>
    </w:p>
    <w:p w14:paraId="7876C454" w14:textId="1C7CD883" w:rsidR="00B57080" w:rsidRPr="00FF13F8" w:rsidRDefault="00B57080" w:rsidP="00B57080">
      <w:pPr>
        <w:pStyle w:val="Heading3"/>
      </w:pPr>
      <w:r w:rsidRPr="00FF13F8">
        <w:t>Acromegaly</w:t>
      </w:r>
      <w:r w:rsidRPr="00D657C4">
        <w:rPr>
          <w:vertAlign w:val="superscript"/>
        </w:rPr>
        <w:t>1-3,</w:t>
      </w:r>
      <w:r w:rsidR="00BE0E31">
        <w:rPr>
          <w:vertAlign w:val="superscript"/>
        </w:rPr>
        <w:t>5</w:t>
      </w:r>
      <w:r w:rsidRPr="00D657C4">
        <w:rPr>
          <w:vertAlign w:val="superscript"/>
        </w:rPr>
        <w:t>,</w:t>
      </w:r>
      <w:r w:rsidR="00BE0E31">
        <w:rPr>
          <w:vertAlign w:val="superscript"/>
        </w:rPr>
        <w:t>6</w:t>
      </w:r>
      <w:r w:rsidRPr="00D657C4">
        <w:rPr>
          <w:vertAlign w:val="superscript"/>
        </w:rPr>
        <w:t>,3</w:t>
      </w:r>
      <w:r w:rsidR="00BE0E31">
        <w:rPr>
          <w:vertAlign w:val="superscript"/>
        </w:rPr>
        <w:t>7</w:t>
      </w:r>
      <w:r w:rsidRPr="00D657C4">
        <w:rPr>
          <w:vertAlign w:val="superscript"/>
        </w:rPr>
        <w:t>,3</w:t>
      </w:r>
      <w:r w:rsidR="00BE0E31">
        <w:rPr>
          <w:vertAlign w:val="superscript"/>
        </w:rPr>
        <w:t>8</w:t>
      </w:r>
      <w:r w:rsidR="00AB6277">
        <w:rPr>
          <w:vertAlign w:val="superscript"/>
        </w:rPr>
        <w:t>,4</w:t>
      </w:r>
      <w:r w:rsidR="00BE0E31">
        <w:rPr>
          <w:vertAlign w:val="superscript"/>
        </w:rPr>
        <w:t>0</w:t>
      </w:r>
    </w:p>
    <w:p w14:paraId="5983C1F2" w14:textId="7F56B822" w:rsidR="00B57080" w:rsidRPr="00FF13F8" w:rsidRDefault="00B57080" w:rsidP="00B57080">
      <w:pPr>
        <w:pStyle w:val="BodyText"/>
      </w:pPr>
      <w:r w:rsidRPr="00FF13F8">
        <w:t>Authorization of 12 months may be granted for the treatment of acromegaly when all of the following criteria are met:</w:t>
      </w:r>
    </w:p>
    <w:p w14:paraId="56B0C95A" w14:textId="77777777" w:rsidR="00B57080" w:rsidRPr="00D657C4" w:rsidRDefault="00B57080" w:rsidP="00D657C4">
      <w:pPr>
        <w:pStyle w:val="ListParagraph"/>
        <w:numPr>
          <w:ilvl w:val="0"/>
          <w:numId w:val="48"/>
        </w:numPr>
      </w:pPr>
      <w:r w:rsidRPr="00D657C4">
        <w:t>Member has a high pretreatment IGF-1 level for age and/or gender based on the laboratory reference range.</w:t>
      </w:r>
    </w:p>
    <w:p w14:paraId="57295683" w14:textId="77777777" w:rsidR="00B57080" w:rsidRPr="00D657C4" w:rsidRDefault="00B57080" w:rsidP="00D657C4">
      <w:pPr>
        <w:pStyle w:val="ListParagraph"/>
        <w:numPr>
          <w:ilvl w:val="0"/>
          <w:numId w:val="48"/>
        </w:numPr>
      </w:pPr>
      <w:r w:rsidRPr="00D657C4">
        <w:t>Member had an inadequate or partial response to surgery or radiotherapy OR there is a clinical reason why the member has not had surgery or radiotherapy.</w:t>
      </w:r>
    </w:p>
    <w:p w14:paraId="0F12F12B" w14:textId="67E8D11B" w:rsidR="00B57080" w:rsidRPr="00D657C4" w:rsidRDefault="00B57080" w:rsidP="00D657C4">
      <w:pPr>
        <w:pStyle w:val="ListParagraph"/>
        <w:numPr>
          <w:ilvl w:val="0"/>
          <w:numId w:val="48"/>
        </w:numPr>
      </w:pPr>
      <w:r w:rsidRPr="00D657C4">
        <w:t>For Mycapssa requests, member has previously responded to and tolerated treatment with octreotide or lanreotide.</w:t>
      </w:r>
    </w:p>
    <w:p w14:paraId="2A615533" w14:textId="540397FE" w:rsidR="00B57080" w:rsidRPr="00FF13F8" w:rsidRDefault="00B57080" w:rsidP="00B57080">
      <w:pPr>
        <w:pStyle w:val="Heading3"/>
      </w:pPr>
      <w:r w:rsidRPr="00FF13F8">
        <w:t xml:space="preserve">Neuroendocrine </w:t>
      </w:r>
      <w:r w:rsidR="00D657C4" w:rsidRPr="00FF13F8">
        <w:t xml:space="preserve">Tumors </w:t>
      </w:r>
      <w:r w:rsidRPr="00FF13F8">
        <w:t>(NETs) (injectable products only)</w:t>
      </w:r>
      <w:r w:rsidRPr="00D657C4">
        <w:rPr>
          <w:vertAlign w:val="superscript"/>
        </w:rPr>
        <w:t>1-4,</w:t>
      </w:r>
      <w:r w:rsidR="00B21816">
        <w:rPr>
          <w:vertAlign w:val="superscript"/>
        </w:rPr>
        <w:t>7</w:t>
      </w:r>
      <w:r w:rsidRPr="00D657C4">
        <w:rPr>
          <w:vertAlign w:val="superscript"/>
        </w:rPr>
        <w:t>,</w:t>
      </w:r>
      <w:r w:rsidR="00B21816">
        <w:rPr>
          <w:vertAlign w:val="superscript"/>
        </w:rPr>
        <w:t>8</w:t>
      </w:r>
      <w:r w:rsidRPr="00D657C4">
        <w:rPr>
          <w:vertAlign w:val="superscript"/>
        </w:rPr>
        <w:t>,3</w:t>
      </w:r>
      <w:r w:rsidR="00B21816">
        <w:rPr>
          <w:vertAlign w:val="superscript"/>
        </w:rPr>
        <w:t>7</w:t>
      </w:r>
      <w:r w:rsidRPr="00D657C4">
        <w:rPr>
          <w:vertAlign w:val="superscript"/>
        </w:rPr>
        <w:t>,</w:t>
      </w:r>
      <w:r w:rsidR="00B21816">
        <w:rPr>
          <w:vertAlign w:val="superscript"/>
        </w:rPr>
        <w:t>39</w:t>
      </w:r>
      <w:r w:rsidR="00AB6277">
        <w:rPr>
          <w:vertAlign w:val="superscript"/>
        </w:rPr>
        <w:t>,4</w:t>
      </w:r>
      <w:r w:rsidR="00B21816">
        <w:rPr>
          <w:vertAlign w:val="superscript"/>
        </w:rPr>
        <w:t>0</w:t>
      </w:r>
    </w:p>
    <w:p w14:paraId="1DE832D1" w14:textId="77777777" w:rsidR="00B57080" w:rsidRPr="00D657C4" w:rsidRDefault="00B57080" w:rsidP="00D657C4">
      <w:pPr>
        <w:pStyle w:val="ListParagraph"/>
        <w:numPr>
          <w:ilvl w:val="0"/>
          <w:numId w:val="49"/>
        </w:numPr>
      </w:pPr>
      <w:r w:rsidRPr="00D657C4">
        <w:t>Authorization of 12 months may be granted for treatment of NETs of the gastrointestinal (GI) tract, lung, and thymus (carcinoid tumors).</w:t>
      </w:r>
    </w:p>
    <w:p w14:paraId="6FF2462D" w14:textId="3CB3DA40" w:rsidR="00B57080" w:rsidRPr="00D657C4" w:rsidRDefault="00B57080" w:rsidP="00D657C4">
      <w:pPr>
        <w:pStyle w:val="ListParagraph"/>
        <w:numPr>
          <w:ilvl w:val="0"/>
          <w:numId w:val="49"/>
        </w:numPr>
      </w:pPr>
      <w:r w:rsidRPr="00D657C4">
        <w:t>Authorization of 12 months may be granted for treatment of NETs of the pancreas (islet cell tumors), including gastrinomas, glucagonomas, and insulinomas.</w:t>
      </w:r>
    </w:p>
    <w:p w14:paraId="2F3DBCBA" w14:textId="3C7B2CC6" w:rsidR="00B57080" w:rsidRPr="00D657C4" w:rsidRDefault="00B57080" w:rsidP="00D657C4">
      <w:pPr>
        <w:pStyle w:val="ListParagraph"/>
        <w:numPr>
          <w:ilvl w:val="0"/>
          <w:numId w:val="49"/>
        </w:numPr>
      </w:pPr>
      <w:r w:rsidRPr="00D657C4">
        <w:t>Authorization of 12 months may be granted for treatment of gastroenteropancreatic neuroendocrine tumors (GEP-NETs).</w:t>
      </w:r>
    </w:p>
    <w:p w14:paraId="2DEBDD3C" w14:textId="649B02D7" w:rsidR="00B57080" w:rsidRPr="00FF13F8" w:rsidRDefault="00B57080" w:rsidP="00B57080">
      <w:pPr>
        <w:pStyle w:val="Heading3"/>
      </w:pPr>
      <w:r w:rsidRPr="00FF13F8">
        <w:t xml:space="preserve">Carcinoid </w:t>
      </w:r>
      <w:r w:rsidR="00D657C4" w:rsidRPr="00FF13F8">
        <w:t xml:space="preserve">Syndrome </w:t>
      </w:r>
      <w:r w:rsidRPr="00FF13F8">
        <w:t>(injectable products only)</w:t>
      </w:r>
      <w:r w:rsidRPr="00D657C4">
        <w:rPr>
          <w:vertAlign w:val="superscript"/>
        </w:rPr>
        <w:t>1-4,</w:t>
      </w:r>
      <w:r w:rsidR="00B21816">
        <w:rPr>
          <w:vertAlign w:val="superscript"/>
        </w:rPr>
        <w:t>7</w:t>
      </w:r>
      <w:r w:rsidRPr="00D657C4">
        <w:rPr>
          <w:vertAlign w:val="superscript"/>
        </w:rPr>
        <w:t>,3</w:t>
      </w:r>
      <w:r w:rsidR="00B21816">
        <w:rPr>
          <w:vertAlign w:val="superscript"/>
        </w:rPr>
        <w:t>7</w:t>
      </w:r>
      <w:r w:rsidR="00AB6277">
        <w:rPr>
          <w:vertAlign w:val="superscript"/>
        </w:rPr>
        <w:t>,4</w:t>
      </w:r>
      <w:r w:rsidR="00B21816">
        <w:rPr>
          <w:vertAlign w:val="superscript"/>
        </w:rPr>
        <w:t>0</w:t>
      </w:r>
    </w:p>
    <w:p w14:paraId="4C930C8E" w14:textId="77777777" w:rsidR="00B57080" w:rsidRPr="00FF13F8" w:rsidRDefault="00B57080" w:rsidP="00D657C4">
      <w:pPr>
        <w:pStyle w:val="BodyText"/>
      </w:pPr>
      <w:r w:rsidRPr="00FF13F8">
        <w:t>Authorization of 12 months may be granted for treatment of carcinoid syndrome.</w:t>
      </w:r>
    </w:p>
    <w:p w14:paraId="2B57A928" w14:textId="7AA8D881" w:rsidR="00B57080" w:rsidRPr="00FF13F8" w:rsidRDefault="00B57080" w:rsidP="00B57080">
      <w:pPr>
        <w:pStyle w:val="Heading3"/>
      </w:pPr>
      <w:r w:rsidRPr="00FF13F8">
        <w:t xml:space="preserve">Vasoactive </w:t>
      </w:r>
      <w:r w:rsidR="00D657C4" w:rsidRPr="00FF13F8">
        <w:t xml:space="preserve">Intestinal Peptide Tumors </w:t>
      </w:r>
      <w:r w:rsidRPr="00FF13F8">
        <w:t>(VIPomas) (injectable products only)</w:t>
      </w:r>
      <w:r w:rsidRPr="00D657C4">
        <w:rPr>
          <w:vertAlign w:val="superscript"/>
        </w:rPr>
        <w:t>1-4,</w:t>
      </w:r>
      <w:r w:rsidR="00113842">
        <w:rPr>
          <w:vertAlign w:val="superscript"/>
        </w:rPr>
        <w:t>7</w:t>
      </w:r>
      <w:r w:rsidRPr="00D657C4">
        <w:rPr>
          <w:vertAlign w:val="superscript"/>
        </w:rPr>
        <w:t>,3</w:t>
      </w:r>
      <w:r w:rsidR="00113842">
        <w:rPr>
          <w:vertAlign w:val="superscript"/>
        </w:rPr>
        <w:t>7</w:t>
      </w:r>
      <w:r w:rsidR="00AB6277">
        <w:rPr>
          <w:vertAlign w:val="superscript"/>
        </w:rPr>
        <w:t>,4</w:t>
      </w:r>
      <w:r w:rsidR="00113842">
        <w:rPr>
          <w:vertAlign w:val="superscript"/>
        </w:rPr>
        <w:t>0</w:t>
      </w:r>
    </w:p>
    <w:p w14:paraId="5D014071" w14:textId="77777777" w:rsidR="00B57080" w:rsidRPr="00FF13F8" w:rsidRDefault="00B57080" w:rsidP="00D657C4">
      <w:pPr>
        <w:pStyle w:val="BodyText"/>
      </w:pPr>
      <w:r w:rsidRPr="00FF13F8">
        <w:t>Authorization of 12 months may be granted for management of symptoms related to hormone hypersecretion of VIPomas.</w:t>
      </w:r>
    </w:p>
    <w:p w14:paraId="1444D4FC" w14:textId="61161151" w:rsidR="00B57080" w:rsidRPr="00FF13F8" w:rsidRDefault="00B57080" w:rsidP="00B57080">
      <w:pPr>
        <w:pStyle w:val="Heading3"/>
      </w:pPr>
      <w:r w:rsidRPr="00FF13F8">
        <w:t xml:space="preserve">Pheochromocytoma </w:t>
      </w:r>
      <w:r w:rsidR="00256712">
        <w:t>a</w:t>
      </w:r>
      <w:r w:rsidR="00D657C4" w:rsidRPr="00FF13F8">
        <w:t xml:space="preserve">nd Paraganglioma </w:t>
      </w:r>
      <w:r w:rsidRPr="00FF13F8">
        <w:t>(injectable products only)</w:t>
      </w:r>
      <w:r w:rsidRPr="00D657C4">
        <w:rPr>
          <w:vertAlign w:val="superscript"/>
        </w:rPr>
        <w:t>4</w:t>
      </w:r>
    </w:p>
    <w:p w14:paraId="2FAB7EC5" w14:textId="77777777" w:rsidR="00B57080" w:rsidRPr="00FF13F8" w:rsidRDefault="00B57080" w:rsidP="00D657C4">
      <w:pPr>
        <w:pStyle w:val="BodyText"/>
      </w:pPr>
      <w:r w:rsidRPr="00FF13F8">
        <w:t>Authorization of 12 months may be granted for treatment of pheochromocytoma and paraganglioma.</w:t>
      </w:r>
    </w:p>
    <w:p w14:paraId="4E86411E" w14:textId="7A9763A8" w:rsidR="00B57080" w:rsidRPr="00FF13F8" w:rsidRDefault="00B57080" w:rsidP="00B57080">
      <w:pPr>
        <w:pStyle w:val="Heading3"/>
      </w:pPr>
      <w:r w:rsidRPr="00FF13F8">
        <w:t xml:space="preserve">Thymomas </w:t>
      </w:r>
      <w:r w:rsidR="00D657C4">
        <w:t>a</w:t>
      </w:r>
      <w:r w:rsidR="00D657C4" w:rsidRPr="00FF13F8">
        <w:t xml:space="preserve">nd Thymic Carcinomas </w:t>
      </w:r>
      <w:r w:rsidRPr="00FF13F8">
        <w:t>(injectable products only)</w:t>
      </w:r>
      <w:r w:rsidRPr="00A87F71">
        <w:rPr>
          <w:vertAlign w:val="superscript"/>
        </w:rPr>
        <w:t>4,1</w:t>
      </w:r>
      <w:r w:rsidR="00113842">
        <w:rPr>
          <w:vertAlign w:val="superscript"/>
        </w:rPr>
        <w:t>0</w:t>
      </w:r>
      <w:r w:rsidRPr="00A87F71">
        <w:rPr>
          <w:vertAlign w:val="superscript"/>
        </w:rPr>
        <w:t>,3</w:t>
      </w:r>
      <w:r w:rsidR="00113842">
        <w:rPr>
          <w:vertAlign w:val="superscript"/>
        </w:rPr>
        <w:t>4</w:t>
      </w:r>
    </w:p>
    <w:p w14:paraId="0F7CFCDC" w14:textId="2CAB0F2C" w:rsidR="00B57080" w:rsidRPr="00FF13F8" w:rsidRDefault="00B57080" w:rsidP="00A87F71">
      <w:pPr>
        <w:pStyle w:val="BodyText"/>
      </w:pPr>
      <w:r w:rsidRPr="00FF13F8">
        <w:t>Authorization of 12 months may be granted for treatment of thymomas and thymic carcinomas.</w:t>
      </w:r>
    </w:p>
    <w:p w14:paraId="358252E2" w14:textId="3971C907" w:rsidR="00B57080" w:rsidRPr="00FF13F8" w:rsidRDefault="00B57080" w:rsidP="00B57080">
      <w:pPr>
        <w:pStyle w:val="Heading3"/>
      </w:pPr>
      <w:r w:rsidRPr="00FF13F8">
        <w:t xml:space="preserve">Congenital </w:t>
      </w:r>
      <w:r w:rsidR="00A87F71" w:rsidRPr="00FF13F8">
        <w:t xml:space="preserve">Hyperinsulinism </w:t>
      </w:r>
      <w:r w:rsidRPr="00FF13F8">
        <w:t>(CHI)/</w:t>
      </w:r>
      <w:r w:rsidR="00A87F71" w:rsidRPr="00FF13F8">
        <w:t xml:space="preserve">Persistent Hyperinsulinemic Hypoglycemia </w:t>
      </w:r>
      <w:r w:rsidR="00A87F71">
        <w:t>o</w:t>
      </w:r>
      <w:r w:rsidR="00A87F71" w:rsidRPr="00FF13F8">
        <w:t>f Infancy</w:t>
      </w:r>
      <w:r w:rsidRPr="00FF13F8">
        <w:t xml:space="preserve"> (octreotide and Sandostatin only)</w:t>
      </w:r>
    </w:p>
    <w:p w14:paraId="63B2738D" w14:textId="77777777" w:rsidR="00B57080" w:rsidRPr="00FF13F8" w:rsidRDefault="00B57080" w:rsidP="00A87F71">
      <w:pPr>
        <w:pStyle w:val="BodyText"/>
      </w:pPr>
      <w:r w:rsidRPr="00FF13F8">
        <w:t>Authorization of 6 months may be granted for treatment of CHI and persistent hyperinsulinemic hypoglycemia in an infant.</w:t>
      </w:r>
    </w:p>
    <w:p w14:paraId="59EB1517" w14:textId="327D56B6" w:rsidR="00B57080" w:rsidRPr="00FF13F8" w:rsidRDefault="00B57080" w:rsidP="00B57080">
      <w:pPr>
        <w:pStyle w:val="Heading3"/>
      </w:pPr>
      <w:r w:rsidRPr="00FF13F8">
        <w:t>AIDS</w:t>
      </w:r>
      <w:r w:rsidR="00A87F71" w:rsidRPr="00FF13F8">
        <w:t xml:space="preserve">-Associated Diarrhea </w:t>
      </w:r>
      <w:r w:rsidRPr="00FF13F8">
        <w:t>(injectable products only)</w:t>
      </w:r>
      <w:r w:rsidRPr="00A87F71">
        <w:rPr>
          <w:vertAlign w:val="superscript"/>
        </w:rPr>
        <w:t>1</w:t>
      </w:r>
      <w:r w:rsidR="00950FF7">
        <w:rPr>
          <w:vertAlign w:val="superscript"/>
        </w:rPr>
        <w:t>3</w:t>
      </w:r>
    </w:p>
    <w:p w14:paraId="2A94E661" w14:textId="77777777" w:rsidR="00B57080" w:rsidRPr="00FF13F8" w:rsidRDefault="00B57080" w:rsidP="00A87F71">
      <w:pPr>
        <w:pStyle w:val="BodyText"/>
      </w:pPr>
      <w:r w:rsidRPr="00FF13F8">
        <w:t>Authorization of 12 months may be granted for treatment of AIDS-associated severe secretory diarrhea when anti-microbial (e.g., ciprofloxacin or metronidazole) or anti-motility agents (e.g., loperamide or diphenoxylate and atropine) have become ineffective.</w:t>
      </w:r>
    </w:p>
    <w:p w14:paraId="77270F14" w14:textId="265DBC46" w:rsidR="00B57080" w:rsidRPr="00FF13F8" w:rsidRDefault="00B57080" w:rsidP="00B57080">
      <w:pPr>
        <w:pStyle w:val="Heading3"/>
      </w:pPr>
      <w:r w:rsidRPr="00FF13F8">
        <w:t xml:space="preserve">Inoperable </w:t>
      </w:r>
      <w:r w:rsidR="00A87F71" w:rsidRPr="00FF13F8">
        <w:t xml:space="preserve">Bowel Obstruction </w:t>
      </w:r>
      <w:r w:rsidR="00256712">
        <w:t>i</w:t>
      </w:r>
      <w:r w:rsidR="00A87F71" w:rsidRPr="00FF13F8">
        <w:t xml:space="preserve">n Cancer </w:t>
      </w:r>
      <w:r w:rsidRPr="00FF13F8">
        <w:t>(injectable products only)</w:t>
      </w:r>
      <w:r w:rsidRPr="00A87F71">
        <w:rPr>
          <w:vertAlign w:val="superscript"/>
        </w:rPr>
        <w:t>1</w:t>
      </w:r>
      <w:r w:rsidR="00950FF7">
        <w:rPr>
          <w:vertAlign w:val="superscript"/>
        </w:rPr>
        <w:t>1</w:t>
      </w:r>
      <w:r w:rsidRPr="00A87F71">
        <w:rPr>
          <w:vertAlign w:val="superscript"/>
        </w:rPr>
        <w:t>,1</w:t>
      </w:r>
      <w:r w:rsidR="00950FF7">
        <w:rPr>
          <w:vertAlign w:val="superscript"/>
        </w:rPr>
        <w:t>4</w:t>
      </w:r>
      <w:r w:rsidRPr="00A87F71">
        <w:rPr>
          <w:vertAlign w:val="superscript"/>
        </w:rPr>
        <w:t>-1</w:t>
      </w:r>
      <w:r w:rsidR="00950FF7">
        <w:rPr>
          <w:vertAlign w:val="superscript"/>
        </w:rPr>
        <w:t>6</w:t>
      </w:r>
      <w:r w:rsidRPr="00A87F71">
        <w:rPr>
          <w:vertAlign w:val="superscript"/>
        </w:rPr>
        <w:t>,3</w:t>
      </w:r>
      <w:r w:rsidR="00950FF7">
        <w:rPr>
          <w:vertAlign w:val="superscript"/>
        </w:rPr>
        <w:t>2</w:t>
      </w:r>
    </w:p>
    <w:p w14:paraId="307A6B20" w14:textId="77777777" w:rsidR="00B57080" w:rsidRPr="00FF13F8" w:rsidRDefault="00B57080" w:rsidP="00A87F71">
      <w:pPr>
        <w:pStyle w:val="BodyText"/>
      </w:pPr>
      <w:r w:rsidRPr="00FF13F8">
        <w:t>Authorization of 12 months may be granted for management of GI symptoms (e.g., nausea, pain, vomiting) of inoperable bowel obstruction in members with cancer.</w:t>
      </w:r>
    </w:p>
    <w:p w14:paraId="55115BAD" w14:textId="7F6AB08C" w:rsidR="00B57080" w:rsidRPr="00FF13F8" w:rsidRDefault="00B57080" w:rsidP="00B57080">
      <w:pPr>
        <w:pStyle w:val="Heading3"/>
      </w:pPr>
      <w:r w:rsidRPr="00FF13F8">
        <w:t>Cancer</w:t>
      </w:r>
      <w:r w:rsidR="00A87F71" w:rsidRPr="00FF13F8">
        <w:t xml:space="preserve">-Related Diarrhea </w:t>
      </w:r>
      <w:r w:rsidRPr="00FF13F8">
        <w:t>(injectable products only)</w:t>
      </w:r>
      <w:r w:rsidRPr="00A87F71">
        <w:rPr>
          <w:vertAlign w:val="superscript"/>
        </w:rPr>
        <w:t>1</w:t>
      </w:r>
      <w:r w:rsidR="00950FF7">
        <w:rPr>
          <w:vertAlign w:val="superscript"/>
        </w:rPr>
        <w:t>1</w:t>
      </w:r>
    </w:p>
    <w:p w14:paraId="15F6EDF7" w14:textId="5AC898BF" w:rsidR="00B57080" w:rsidRPr="00FF13F8" w:rsidRDefault="00B57080" w:rsidP="00A87F71">
      <w:pPr>
        <w:pStyle w:val="BodyText"/>
      </w:pPr>
      <w:r w:rsidRPr="00FF13F8">
        <w:t>Authorization of 12 months may be granted for treatment of cancer-related diarrhea when the member has grade 3 or greater diarrhea according to National Cancer Institute (NCI) Common Terminology Criteria for Adverse Events (CTCAE).</w:t>
      </w:r>
    </w:p>
    <w:p w14:paraId="3FD348A3" w14:textId="2A3CA5E6" w:rsidR="00B57080" w:rsidRPr="00FF13F8" w:rsidRDefault="00B57080" w:rsidP="00B57080">
      <w:pPr>
        <w:pStyle w:val="Heading3"/>
      </w:pPr>
      <w:r w:rsidRPr="00FF13F8">
        <w:t xml:space="preserve">Enterocutaneous </w:t>
      </w:r>
      <w:r w:rsidR="00A87F71" w:rsidRPr="00FF13F8">
        <w:t xml:space="preserve">Fistula </w:t>
      </w:r>
      <w:r w:rsidRPr="00FF13F8">
        <w:t>(injectable products only)</w:t>
      </w:r>
      <w:r w:rsidRPr="00A87F71">
        <w:rPr>
          <w:vertAlign w:val="superscript"/>
        </w:rPr>
        <w:t>1</w:t>
      </w:r>
      <w:r w:rsidR="00950FF7">
        <w:rPr>
          <w:vertAlign w:val="superscript"/>
        </w:rPr>
        <w:t>7</w:t>
      </w:r>
      <w:r w:rsidRPr="00A87F71">
        <w:rPr>
          <w:vertAlign w:val="superscript"/>
        </w:rPr>
        <w:t>-</w:t>
      </w:r>
      <w:r w:rsidR="00950FF7">
        <w:rPr>
          <w:vertAlign w:val="superscript"/>
        </w:rPr>
        <w:t>19</w:t>
      </w:r>
      <w:r w:rsidRPr="00A87F71">
        <w:rPr>
          <w:vertAlign w:val="superscript"/>
        </w:rPr>
        <w:t>,2</w:t>
      </w:r>
      <w:r w:rsidR="00950FF7">
        <w:rPr>
          <w:vertAlign w:val="superscript"/>
        </w:rPr>
        <w:t>6</w:t>
      </w:r>
    </w:p>
    <w:p w14:paraId="279669BC" w14:textId="77777777" w:rsidR="00B57080" w:rsidRPr="00FF13F8" w:rsidRDefault="00B57080" w:rsidP="00A87F71">
      <w:pPr>
        <w:pStyle w:val="BodyText"/>
      </w:pPr>
      <w:r w:rsidRPr="00FF13F8">
        <w:t>Authorization of 12 months may be granted for management of volume depletion from enterocutaneous fistula.</w:t>
      </w:r>
    </w:p>
    <w:p w14:paraId="06D9B6A2" w14:textId="405128D3" w:rsidR="00B57080" w:rsidRPr="00FF13F8" w:rsidRDefault="00B57080" w:rsidP="00B57080">
      <w:pPr>
        <w:pStyle w:val="Heading3"/>
      </w:pPr>
      <w:r w:rsidRPr="00FF13F8">
        <w:t xml:space="preserve">Gastroesophageal </w:t>
      </w:r>
      <w:r w:rsidR="00A87F71" w:rsidRPr="00FF13F8">
        <w:t xml:space="preserve">Varices </w:t>
      </w:r>
      <w:r w:rsidRPr="00FF13F8">
        <w:t>(injectable products only)</w:t>
      </w:r>
      <w:r w:rsidRPr="00A87F71">
        <w:rPr>
          <w:vertAlign w:val="superscript"/>
        </w:rPr>
        <w:t>2</w:t>
      </w:r>
      <w:r w:rsidR="00950FF7">
        <w:rPr>
          <w:vertAlign w:val="superscript"/>
        </w:rPr>
        <w:t>0</w:t>
      </w:r>
      <w:r w:rsidRPr="00A87F71">
        <w:rPr>
          <w:vertAlign w:val="superscript"/>
        </w:rPr>
        <w:t>-2</w:t>
      </w:r>
      <w:r w:rsidR="00950FF7">
        <w:rPr>
          <w:vertAlign w:val="superscript"/>
        </w:rPr>
        <w:t>5</w:t>
      </w:r>
    </w:p>
    <w:p w14:paraId="6940187A" w14:textId="77777777" w:rsidR="00B57080" w:rsidRPr="00FF13F8" w:rsidRDefault="00B57080" w:rsidP="00A87F71">
      <w:pPr>
        <w:pStyle w:val="BodyText"/>
      </w:pPr>
      <w:r w:rsidRPr="00FF13F8">
        <w:t>Authorization of 6 months may be granted for treatment of acute bleeding of gastroesophageal varices associated with cirrhosis.</w:t>
      </w:r>
    </w:p>
    <w:p w14:paraId="72567E9B" w14:textId="51E6C2DF" w:rsidR="00B57080" w:rsidRPr="00FF13F8" w:rsidRDefault="00B57080" w:rsidP="00B57080">
      <w:pPr>
        <w:pStyle w:val="Heading3"/>
      </w:pPr>
      <w:r w:rsidRPr="00FF13F8">
        <w:t xml:space="preserve">Pancreatic </w:t>
      </w:r>
      <w:r w:rsidR="00A87F71" w:rsidRPr="00FF13F8">
        <w:t xml:space="preserve">Fistulas </w:t>
      </w:r>
      <w:r w:rsidRPr="00FF13F8">
        <w:t>(injectable products only)</w:t>
      </w:r>
      <w:r w:rsidRPr="00A87F71">
        <w:rPr>
          <w:vertAlign w:val="superscript"/>
        </w:rPr>
        <w:t>2</w:t>
      </w:r>
      <w:r w:rsidR="00950FF7">
        <w:rPr>
          <w:vertAlign w:val="superscript"/>
        </w:rPr>
        <w:t>7</w:t>
      </w:r>
      <w:r w:rsidRPr="00A87F71">
        <w:rPr>
          <w:vertAlign w:val="superscript"/>
        </w:rPr>
        <w:t>-</w:t>
      </w:r>
      <w:r w:rsidR="00950FF7">
        <w:rPr>
          <w:vertAlign w:val="superscript"/>
        </w:rPr>
        <w:t>29</w:t>
      </w:r>
      <w:r w:rsidRPr="00A87F71">
        <w:rPr>
          <w:vertAlign w:val="superscript"/>
        </w:rPr>
        <w:t>,3</w:t>
      </w:r>
      <w:r w:rsidR="00950FF7">
        <w:rPr>
          <w:vertAlign w:val="superscript"/>
        </w:rPr>
        <w:t>5</w:t>
      </w:r>
      <w:r w:rsidRPr="00A87F71">
        <w:rPr>
          <w:vertAlign w:val="superscript"/>
        </w:rPr>
        <w:t>,3</w:t>
      </w:r>
      <w:r w:rsidR="00950FF7">
        <w:rPr>
          <w:vertAlign w:val="superscript"/>
        </w:rPr>
        <w:t>6</w:t>
      </w:r>
    </w:p>
    <w:p w14:paraId="7B43F5A5" w14:textId="77777777" w:rsidR="00B57080" w:rsidRPr="00FF13F8" w:rsidRDefault="00B57080" w:rsidP="00A87F71">
      <w:pPr>
        <w:pStyle w:val="BodyText"/>
      </w:pPr>
      <w:r w:rsidRPr="00FF13F8">
        <w:t>Authorization of 6 months may be granted for prevention and treatment of pancreatic fistulas following pancreatic surgery.</w:t>
      </w:r>
    </w:p>
    <w:p w14:paraId="4D7A7066" w14:textId="46BF6B21" w:rsidR="00B57080" w:rsidRPr="00FF13F8" w:rsidRDefault="00B57080" w:rsidP="00B57080">
      <w:pPr>
        <w:pStyle w:val="Heading3"/>
      </w:pPr>
      <w:r w:rsidRPr="00FF13F8">
        <w:t xml:space="preserve">Pituitary </w:t>
      </w:r>
      <w:r w:rsidR="00A87F71" w:rsidRPr="00FF13F8">
        <w:t xml:space="preserve">Adenoma </w:t>
      </w:r>
      <w:r w:rsidRPr="00FF13F8">
        <w:t>(injectable products only)</w:t>
      </w:r>
      <w:r w:rsidR="00950FF7">
        <w:rPr>
          <w:vertAlign w:val="superscript"/>
        </w:rPr>
        <w:t>9</w:t>
      </w:r>
      <w:r w:rsidRPr="00A87F71">
        <w:rPr>
          <w:vertAlign w:val="superscript"/>
        </w:rPr>
        <w:t>,3</w:t>
      </w:r>
      <w:r w:rsidR="00950FF7">
        <w:rPr>
          <w:vertAlign w:val="superscript"/>
        </w:rPr>
        <w:t>0</w:t>
      </w:r>
    </w:p>
    <w:p w14:paraId="6D36DC7B" w14:textId="77777777" w:rsidR="00B57080" w:rsidRPr="00FF13F8" w:rsidRDefault="00B57080" w:rsidP="00A87F71">
      <w:pPr>
        <w:pStyle w:val="BodyText"/>
      </w:pPr>
      <w:r w:rsidRPr="00FF13F8">
        <w:t>Authorization of 12 months may be granted for treatment of pituitary adenoma.</w:t>
      </w:r>
    </w:p>
    <w:p w14:paraId="04A325D5" w14:textId="16603F4C" w:rsidR="00B57080" w:rsidRPr="00FF13F8" w:rsidRDefault="00B57080" w:rsidP="007E3212">
      <w:pPr>
        <w:pStyle w:val="Heading3"/>
      </w:pPr>
      <w:r w:rsidRPr="00FF13F8">
        <w:t xml:space="preserve">Short </w:t>
      </w:r>
      <w:r w:rsidR="00A87F71" w:rsidRPr="00FF13F8">
        <w:t xml:space="preserve">Bowel Syndrome </w:t>
      </w:r>
      <w:r w:rsidRPr="00FF13F8">
        <w:t>(injectable products only)</w:t>
      </w:r>
      <w:r w:rsidRPr="00A87F71">
        <w:rPr>
          <w:vertAlign w:val="superscript"/>
        </w:rPr>
        <w:t>1</w:t>
      </w:r>
      <w:r w:rsidR="00950FF7">
        <w:rPr>
          <w:vertAlign w:val="superscript"/>
        </w:rPr>
        <w:t>2</w:t>
      </w:r>
      <w:r w:rsidRPr="00A87F71">
        <w:rPr>
          <w:vertAlign w:val="superscript"/>
        </w:rPr>
        <w:t>,3</w:t>
      </w:r>
      <w:r w:rsidR="00950FF7">
        <w:rPr>
          <w:vertAlign w:val="superscript"/>
        </w:rPr>
        <w:t>1</w:t>
      </w:r>
      <w:r w:rsidRPr="00A87F71">
        <w:rPr>
          <w:vertAlign w:val="superscript"/>
        </w:rPr>
        <w:t>,3</w:t>
      </w:r>
      <w:r w:rsidR="00950FF7">
        <w:rPr>
          <w:vertAlign w:val="superscript"/>
        </w:rPr>
        <w:t>3</w:t>
      </w:r>
    </w:p>
    <w:p w14:paraId="01EF1BD9" w14:textId="77777777" w:rsidR="00B57080" w:rsidRPr="00FF13F8" w:rsidRDefault="00B57080" w:rsidP="00A87F71">
      <w:pPr>
        <w:pStyle w:val="BodyText"/>
      </w:pPr>
      <w:r w:rsidRPr="00FF13F8">
        <w:t>Authorization of 12 months may be grated for treatment of short bowel syndrome when the daily intravenous fluid requirement is greater than 3 liters.</w:t>
      </w:r>
    </w:p>
    <w:p w14:paraId="60A3DD54" w14:textId="2B84DF2B" w:rsidR="00B57080" w:rsidRPr="00FF13F8" w:rsidRDefault="00B57080" w:rsidP="007E3212">
      <w:pPr>
        <w:pStyle w:val="Heading3"/>
      </w:pPr>
      <w:r w:rsidRPr="00FF13F8">
        <w:t>Zollinger</w:t>
      </w:r>
      <w:r w:rsidR="00A87F71" w:rsidRPr="00FF13F8">
        <w:t>-</w:t>
      </w:r>
      <w:r w:rsidRPr="00FF13F8">
        <w:t xml:space="preserve">Ellison </w:t>
      </w:r>
      <w:r w:rsidR="00A87F71" w:rsidRPr="00FF13F8">
        <w:t xml:space="preserve">Syndrome </w:t>
      </w:r>
      <w:r w:rsidRPr="00FF13F8">
        <w:t>(injectable products only)</w:t>
      </w:r>
      <w:r w:rsidR="00950FF7">
        <w:rPr>
          <w:vertAlign w:val="superscript"/>
        </w:rPr>
        <w:t>7</w:t>
      </w:r>
    </w:p>
    <w:p w14:paraId="096EDA54" w14:textId="77777777" w:rsidR="00B57080" w:rsidRPr="00FF13F8" w:rsidRDefault="00B57080" w:rsidP="00A87F71">
      <w:pPr>
        <w:pStyle w:val="BodyText"/>
      </w:pPr>
      <w:r w:rsidRPr="00FF13F8">
        <w:t>Authorization of 12 months may be grated for treatment of Zollinger-Ellison syndrome.</w:t>
      </w:r>
    </w:p>
    <w:p w14:paraId="3590D2E0" w14:textId="726DA976" w:rsidR="00107343" w:rsidRDefault="00107343">
      <w:pPr>
        <w:pStyle w:val="Heading3"/>
      </w:pPr>
      <w:r>
        <w:t>Meningiomas</w:t>
      </w:r>
      <w:r w:rsidR="00FA6182">
        <w:t xml:space="preserve"> </w:t>
      </w:r>
      <w:r w:rsidR="00FA6182" w:rsidRPr="00FF13F8">
        <w:t>(injectable products only)</w:t>
      </w:r>
      <w:r>
        <w:rPr>
          <w:vertAlign w:val="superscript"/>
        </w:rPr>
        <w:t>4</w:t>
      </w:r>
    </w:p>
    <w:p w14:paraId="12665210" w14:textId="5173BCA6" w:rsidR="00107343" w:rsidRPr="00107343" w:rsidRDefault="00107343" w:rsidP="00B16658">
      <w:pPr>
        <w:pStyle w:val="BodyText"/>
      </w:pPr>
      <w:r>
        <w:t xml:space="preserve">Authorization of 12 months may be granted for treatment of </w:t>
      </w:r>
      <w:r w:rsidR="002B3A99">
        <w:t xml:space="preserve">meningiomas when used in combination with everolimus for </w:t>
      </w:r>
      <w:r w:rsidR="002B3A99" w:rsidRPr="002B3A99">
        <w:t>surgically inaccessible recurrent or progressive</w:t>
      </w:r>
      <w:r w:rsidR="002B3A99">
        <w:t xml:space="preserve"> disease.</w:t>
      </w:r>
    </w:p>
    <w:p w14:paraId="3A643EC3" w14:textId="5C98CCDF" w:rsidR="00A501AC" w:rsidRPr="00FF13F8" w:rsidRDefault="00A501AC" w:rsidP="00A501AC">
      <w:pPr>
        <w:pStyle w:val="Heading2"/>
      </w:pPr>
      <w:r w:rsidRPr="00FF13F8">
        <w:t>Continuation of Therapy</w:t>
      </w:r>
    </w:p>
    <w:p w14:paraId="0190DFA8" w14:textId="15D83B63" w:rsidR="007E3212" w:rsidRPr="00FF13F8" w:rsidRDefault="007E3212" w:rsidP="007E3212">
      <w:pPr>
        <w:pStyle w:val="Heading3"/>
      </w:pPr>
      <w:r w:rsidRPr="00FF13F8">
        <w:t>Acromegaly</w:t>
      </w:r>
    </w:p>
    <w:p w14:paraId="2DE0E648" w14:textId="6CF88005" w:rsidR="007E3212" w:rsidRPr="00FF13F8" w:rsidRDefault="007E3212" w:rsidP="007E3212">
      <w:pPr>
        <w:pStyle w:val="BodyText"/>
      </w:pPr>
      <w:r w:rsidRPr="00FF13F8">
        <w:t>Authorization of 12 months may be granted for continuation of therapy for acromegaly when the member’s IGF-1 level has decreased or normalized since initiation of therapy.</w:t>
      </w:r>
    </w:p>
    <w:p w14:paraId="1B898167" w14:textId="2CC04354" w:rsidR="007E3212" w:rsidRPr="00FF13F8" w:rsidRDefault="007E3212" w:rsidP="007E3212">
      <w:pPr>
        <w:pStyle w:val="Heading3"/>
      </w:pPr>
      <w:r w:rsidRPr="00FF13F8">
        <w:t xml:space="preserve">NETs, Carcinoid </w:t>
      </w:r>
      <w:r w:rsidR="00A87F71" w:rsidRPr="00FF13F8">
        <w:t xml:space="preserve">Syndrome, Vipomas, Pheochromocytoma/Paraganglioma, Thymomas/Thymic Carcinomas, </w:t>
      </w:r>
      <w:r w:rsidRPr="00FF13F8">
        <w:t>AIDS</w:t>
      </w:r>
      <w:r w:rsidR="00A87F71" w:rsidRPr="00FF13F8">
        <w:t xml:space="preserve">-Associated Diarrhea, Bowel Obstruction, Cancer-Related Diarrhea, </w:t>
      </w:r>
      <w:r w:rsidRPr="00FF13F8">
        <w:t>Zollinger</w:t>
      </w:r>
      <w:r w:rsidR="00A87F71" w:rsidRPr="00FF13F8">
        <w:t>-</w:t>
      </w:r>
      <w:r w:rsidRPr="00FF13F8">
        <w:t xml:space="preserve">Ellison </w:t>
      </w:r>
      <w:r w:rsidR="00A87F71" w:rsidRPr="00FF13F8">
        <w:t>Syndrome</w:t>
      </w:r>
      <w:r w:rsidR="00EB7E10">
        <w:t>, and Meningiomas</w:t>
      </w:r>
      <w:r w:rsidRPr="00FF13F8">
        <w:t xml:space="preserve"> (injectable products only)</w:t>
      </w:r>
    </w:p>
    <w:p w14:paraId="053610CB" w14:textId="77777777" w:rsidR="007E3212" w:rsidRPr="00FF13F8" w:rsidRDefault="007E3212" w:rsidP="007E3212">
      <w:pPr>
        <w:pStyle w:val="BodyText"/>
      </w:pPr>
      <w:r w:rsidRPr="00FF13F8">
        <w:t>Authorization of 12 months may be granted for continued treatment in members requesting reauthorization when the member is experiencing clinical benefit as evidenced by improvement or stabilization in clinical signs and symptoms since initiation of therapy.</w:t>
      </w:r>
    </w:p>
    <w:p w14:paraId="5307CF05" w14:textId="30084959" w:rsidR="007E3212" w:rsidRPr="00FF13F8" w:rsidRDefault="007E3212" w:rsidP="007E3212">
      <w:pPr>
        <w:pStyle w:val="Heading3"/>
      </w:pPr>
      <w:r w:rsidRPr="00FF13F8">
        <w:t xml:space="preserve">All </w:t>
      </w:r>
      <w:r w:rsidR="00A87F71" w:rsidRPr="00FF13F8">
        <w:t>Other Indications</w:t>
      </w:r>
    </w:p>
    <w:p w14:paraId="35EF61BA" w14:textId="77777777" w:rsidR="007E3212" w:rsidRPr="00FF13F8" w:rsidRDefault="007E3212" w:rsidP="007E3212">
      <w:pPr>
        <w:pStyle w:val="BodyText"/>
      </w:pPr>
      <w:r w:rsidRPr="00FF13F8">
        <w:t>All members (including new members) requesting authorization for continuation of therapy must meet all requirements in the coverage criteria</w:t>
      </w:r>
      <w:bookmarkStart w:id="0" w:name="S2.2"/>
      <w:bookmarkStart w:id="1" w:name="section-2.2"/>
      <w:bookmarkStart w:id="2" w:name="section-2.2.1"/>
      <w:bookmarkStart w:id="3" w:name="section-2.2.2"/>
      <w:bookmarkEnd w:id="0"/>
      <w:bookmarkEnd w:id="1"/>
      <w:bookmarkEnd w:id="2"/>
      <w:bookmarkEnd w:id="3"/>
      <w:r w:rsidRPr="00FF13F8">
        <w:t>.</w:t>
      </w:r>
    </w:p>
    <w:p w14:paraId="10DA4309" w14:textId="14542712" w:rsidR="00FF66BF" w:rsidRPr="00FF13F8" w:rsidRDefault="00FF66BF" w:rsidP="007E3212">
      <w:pPr>
        <w:pStyle w:val="Heading2"/>
      </w:pPr>
      <w:r w:rsidRPr="00FF13F8">
        <w:t>References</w:t>
      </w:r>
    </w:p>
    <w:p w14:paraId="39F9CDD5" w14:textId="77777777" w:rsidR="007E3212" w:rsidRPr="00A87F71" w:rsidRDefault="007E3212" w:rsidP="00A87F71">
      <w:pPr>
        <w:pStyle w:val="ReferenceOrdered"/>
      </w:pPr>
      <w:r w:rsidRPr="00A87F71">
        <w:t>Octreotide acetate [package insert]. Morgantown, WV: Mylan Institutional LLC; November 2022.</w:t>
      </w:r>
    </w:p>
    <w:p w14:paraId="3F5A40D7" w14:textId="4B7D9E91" w:rsidR="007E3212" w:rsidRPr="00A87F71" w:rsidRDefault="007E3212" w:rsidP="00A87F71">
      <w:pPr>
        <w:pStyle w:val="ReferenceOrdered"/>
      </w:pPr>
      <w:r w:rsidRPr="00A87F71">
        <w:t xml:space="preserve">Sandostatin [package insert]. East Hanover, NJ: Novartis Pharmaceuticals Corporation; </w:t>
      </w:r>
      <w:r w:rsidR="00350B2E">
        <w:t>July</w:t>
      </w:r>
      <w:r w:rsidRPr="00A87F71">
        <w:t xml:space="preserve"> 202</w:t>
      </w:r>
      <w:r w:rsidR="00350B2E">
        <w:t>4</w:t>
      </w:r>
      <w:r w:rsidRPr="00A87F71">
        <w:t>.</w:t>
      </w:r>
    </w:p>
    <w:p w14:paraId="0476577E" w14:textId="2D38FB57" w:rsidR="007E3212" w:rsidRPr="00A87F71" w:rsidRDefault="007E3212" w:rsidP="00A87F71">
      <w:pPr>
        <w:pStyle w:val="ReferenceOrdered"/>
      </w:pPr>
      <w:r w:rsidRPr="00A87F71">
        <w:t>Sandostatin LAR Depot [package insert]. East Hanover, NJ: Novartis Pharmaceuticals Corporation; July 202</w:t>
      </w:r>
      <w:r w:rsidR="00350B2E">
        <w:t>4</w:t>
      </w:r>
      <w:r w:rsidRPr="00A87F71">
        <w:t>.</w:t>
      </w:r>
    </w:p>
    <w:p w14:paraId="4B073904" w14:textId="0B14B26A" w:rsidR="007E3212" w:rsidRPr="00A87F71" w:rsidRDefault="007E3212" w:rsidP="00A87F71">
      <w:pPr>
        <w:pStyle w:val="ReferenceOrdered"/>
      </w:pPr>
      <w:r w:rsidRPr="00A87F71">
        <w:t>The NCCN Drugs &amp; Biologics Compendium® © 202</w:t>
      </w:r>
      <w:r w:rsidR="00942F6F">
        <w:t>4</w:t>
      </w:r>
      <w:r w:rsidRPr="00A87F71">
        <w:t xml:space="preserve"> National Comprehensive Cancer Network, Inc. http://www.nccn.org. Accessed November 1</w:t>
      </w:r>
      <w:r w:rsidR="00942F6F">
        <w:t>1</w:t>
      </w:r>
      <w:r w:rsidRPr="00A87F71">
        <w:t>, 202</w:t>
      </w:r>
      <w:r w:rsidR="00942F6F">
        <w:t>4</w:t>
      </w:r>
      <w:r w:rsidRPr="00A87F71">
        <w:t>.</w:t>
      </w:r>
    </w:p>
    <w:p w14:paraId="33071455" w14:textId="77777777" w:rsidR="007E3212" w:rsidRPr="00A87F71" w:rsidRDefault="007E3212" w:rsidP="00A87F71">
      <w:pPr>
        <w:pStyle w:val="ReferenceOrdered"/>
      </w:pPr>
      <w:r w:rsidRPr="00A87F71">
        <w:t>Katznelson L, Laws ER, Melmed S, et al. Acromegaly: an endocrine society clinical practice guideline. J Clin Endocrinol Metab. 2014;99:3933-3951.</w:t>
      </w:r>
    </w:p>
    <w:p w14:paraId="31A3D4BA" w14:textId="77777777" w:rsidR="007E3212" w:rsidRPr="00A87F71" w:rsidRDefault="007E3212" w:rsidP="00A87F71">
      <w:pPr>
        <w:pStyle w:val="ReferenceOrdered"/>
      </w:pPr>
      <w:r w:rsidRPr="00A87F71">
        <w:t>American Association of Clinical Endocrinologists Acromegaly Guidelines Task Force. Medical guidelines for clinical practice for the diagnosis and treatment of acromegaly – 2011 update. Endocr Pract. 2011;17(suppl 4):1-44.</w:t>
      </w:r>
    </w:p>
    <w:p w14:paraId="7524A0DC" w14:textId="12219139" w:rsidR="007E3212" w:rsidRPr="00A87F71" w:rsidRDefault="007E3212" w:rsidP="00A87F71">
      <w:pPr>
        <w:pStyle w:val="ReferenceOrdered"/>
      </w:pPr>
      <w:r w:rsidRPr="00A87F71">
        <w:t xml:space="preserve">The NCCN Clinical Practice Guidelines in Oncology® Neuroendocrine and Adrenal Tumors (Version </w:t>
      </w:r>
      <w:r w:rsidR="00942F6F">
        <w:t>2</w:t>
      </w:r>
      <w:r w:rsidRPr="00A87F71">
        <w:t>.202</w:t>
      </w:r>
      <w:r w:rsidR="00942F6F">
        <w:t>4</w:t>
      </w:r>
      <w:r w:rsidRPr="00A87F71">
        <w:t>). © 202</w:t>
      </w:r>
      <w:r w:rsidR="00942F6F">
        <w:t>4</w:t>
      </w:r>
      <w:r w:rsidRPr="00A87F71">
        <w:t xml:space="preserve"> National Comprehensive Cancer Network, Inc. http://www.nccn.org. Accessed November 1</w:t>
      </w:r>
      <w:r w:rsidR="00942F6F">
        <w:t>1</w:t>
      </w:r>
      <w:r w:rsidRPr="00A87F71">
        <w:t>, 202</w:t>
      </w:r>
      <w:r w:rsidR="00942F6F">
        <w:t>4</w:t>
      </w:r>
      <w:r w:rsidRPr="00A87F71">
        <w:t>.</w:t>
      </w:r>
    </w:p>
    <w:p w14:paraId="193C0818" w14:textId="77777777" w:rsidR="007E3212" w:rsidRPr="00A87F71" w:rsidRDefault="007E3212" w:rsidP="00A87F71">
      <w:pPr>
        <w:pStyle w:val="ReferenceOrdered"/>
      </w:pPr>
      <w:r w:rsidRPr="00A34D4C">
        <w:rPr>
          <w:lang w:val="sv-SE"/>
        </w:rPr>
        <w:t xml:space="preserve">Rinke A, Muller H, Schade-Brittinger C, et al. </w:t>
      </w:r>
      <w:r w:rsidRPr="00A87F71">
        <w:t>Placebo-controlled, double-blind, prospective, randomized study on the effect of octreotide LAR in the control of tumor growth in patients with metastatic neuroendocrine midgut tumors: a report from the PROMID study group. J Clin Oncol. 2009;27:4656-4663.</w:t>
      </w:r>
    </w:p>
    <w:p w14:paraId="2F0F310D" w14:textId="6A6783F3" w:rsidR="007E3212" w:rsidRPr="00A87F71" w:rsidRDefault="007E3212" w:rsidP="00A87F71">
      <w:pPr>
        <w:pStyle w:val="ReferenceOrdered"/>
      </w:pPr>
      <w:r w:rsidRPr="00A87F71">
        <w:t>Thapar K, Kovacs K, Stefaneanu L, et al: Antiproliferative effect of the somatostatin analogue octreotide on growth hormone-producing pituitary tumors: Results of a multicenter randomized trial. Mayo Clin Proc 1997; 72:893-900.</w:t>
      </w:r>
    </w:p>
    <w:p w14:paraId="74D97944" w14:textId="3173912E" w:rsidR="007E3212" w:rsidRPr="00A87F71" w:rsidRDefault="007E3212" w:rsidP="00A87F71">
      <w:pPr>
        <w:pStyle w:val="ReferenceOrdered"/>
      </w:pPr>
      <w:r w:rsidRPr="00A87F71">
        <w:t>The NCCN Clinical Practice Guidelines in Oncology® Thymomas and Thymic Carcinomas. (Version 1.202</w:t>
      </w:r>
      <w:r w:rsidR="00942F6F">
        <w:t>5</w:t>
      </w:r>
      <w:r w:rsidRPr="00A87F71">
        <w:t>). © 202</w:t>
      </w:r>
      <w:r w:rsidR="00942F6F">
        <w:t>5</w:t>
      </w:r>
      <w:r w:rsidRPr="00A87F71">
        <w:t xml:space="preserve"> National Comprehensive Cancer Network, Inc. http://www.nccn.org. Accessed November 1</w:t>
      </w:r>
      <w:r w:rsidR="00942F6F">
        <w:t>1</w:t>
      </w:r>
      <w:r w:rsidRPr="00A87F71">
        <w:t>, 202</w:t>
      </w:r>
      <w:r w:rsidR="00942F6F">
        <w:t>4</w:t>
      </w:r>
      <w:r w:rsidRPr="00A87F71">
        <w:t>.</w:t>
      </w:r>
    </w:p>
    <w:p w14:paraId="560E12B9" w14:textId="1B2F8D4C" w:rsidR="007E3212" w:rsidRPr="00A87F71" w:rsidRDefault="007E3212" w:rsidP="00A87F71">
      <w:pPr>
        <w:pStyle w:val="ReferenceOrdered"/>
      </w:pPr>
      <w:r w:rsidRPr="00A87F71">
        <w:t xml:space="preserve">The NCCN Clinical Practice Guidelines in Oncology® Palliative Care (Version </w:t>
      </w:r>
      <w:r w:rsidR="00942F6F">
        <w:t>1</w:t>
      </w:r>
      <w:r w:rsidRPr="00A87F71">
        <w:t>.202</w:t>
      </w:r>
      <w:r w:rsidR="00942F6F">
        <w:t>4</w:t>
      </w:r>
      <w:r w:rsidRPr="00A87F71">
        <w:t>). © 202</w:t>
      </w:r>
      <w:r w:rsidR="00942F6F">
        <w:t>4</w:t>
      </w:r>
      <w:r w:rsidRPr="00A87F71">
        <w:t xml:space="preserve"> National Comprehensive Cancer Network, Inc. http://www.nccn.org. Accessed November 1</w:t>
      </w:r>
      <w:r w:rsidR="00942F6F">
        <w:t>1</w:t>
      </w:r>
      <w:r w:rsidRPr="00A87F71">
        <w:t>, 202</w:t>
      </w:r>
      <w:r w:rsidR="00942F6F">
        <w:t>4</w:t>
      </w:r>
      <w:r w:rsidRPr="00A87F71">
        <w:t>.</w:t>
      </w:r>
    </w:p>
    <w:p w14:paraId="74F12822" w14:textId="77777777" w:rsidR="007E3212" w:rsidRPr="00A87F71" w:rsidRDefault="007E3212" w:rsidP="00A87F71">
      <w:pPr>
        <w:pStyle w:val="ReferenceOrdered"/>
      </w:pPr>
      <w:r w:rsidRPr="00A87F71">
        <w:t>Harris AG, O'Dorisio TM, Woltering EA, et al. Consensus statement: Octreotide dose titration in secretory diarrhea. Diarrhea Management Consensus Development Panel. Dig Dis Sci. 1995;40(7):1464-1473.</w:t>
      </w:r>
    </w:p>
    <w:p w14:paraId="629D93E4" w14:textId="77777777" w:rsidR="007E3212" w:rsidRPr="00A87F71" w:rsidRDefault="007E3212" w:rsidP="00A87F71">
      <w:pPr>
        <w:pStyle w:val="ReferenceOrdered"/>
      </w:pPr>
      <w:r w:rsidRPr="00A87F71">
        <w:t>Fried M. Octreotide in the treatment of refractory diarrhea. Digestion. 1999,60:42‐46.</w:t>
      </w:r>
    </w:p>
    <w:p w14:paraId="523F6F43" w14:textId="77777777" w:rsidR="007E3212" w:rsidRPr="00A87F71" w:rsidRDefault="007E3212" w:rsidP="00A87F71">
      <w:pPr>
        <w:pStyle w:val="ReferenceOrdered"/>
      </w:pPr>
      <w:r w:rsidRPr="00A34D4C">
        <w:rPr>
          <w:lang w:val="sv-SE"/>
        </w:rPr>
        <w:t xml:space="preserve">Edmunds MC, Chen JD, Soykan I, et al. </w:t>
      </w:r>
      <w:r w:rsidRPr="00A87F71">
        <w:t>Effect of octreotide on gastric and small bowel motility in patients with gastroparesis. Aliment Pharmacol Ther. 1998;12(2):167-174.</w:t>
      </w:r>
    </w:p>
    <w:p w14:paraId="669C4A95" w14:textId="77777777" w:rsidR="007E3212" w:rsidRPr="00A87F71" w:rsidRDefault="007E3212" w:rsidP="00A87F71">
      <w:pPr>
        <w:pStyle w:val="ReferenceOrdered"/>
      </w:pPr>
      <w:r w:rsidRPr="00A34D4C">
        <w:rPr>
          <w:lang w:val="it-IT"/>
        </w:rPr>
        <w:t xml:space="preserve">Ripamonti C, Mercadante S, Groff L, et al. </w:t>
      </w:r>
      <w:r w:rsidRPr="00A87F71">
        <w:t>Role of octreotide, scopolamine butylbromide, and hydration in symptom control of patients with inoperable bowel obstruction and nasogastric tubes: A prospective randomized trial. J Pain Symptom Manage. 2000;19(1):23-34.</w:t>
      </w:r>
    </w:p>
    <w:p w14:paraId="14E62FE4" w14:textId="77777777" w:rsidR="007E3212" w:rsidRPr="00A87F71" w:rsidRDefault="007E3212" w:rsidP="00A87F71">
      <w:pPr>
        <w:pStyle w:val="ReferenceOrdered"/>
      </w:pPr>
      <w:r w:rsidRPr="00A34D4C">
        <w:rPr>
          <w:lang w:val="it-IT"/>
        </w:rPr>
        <w:t xml:space="preserve">Mercadante S, Ripamonti C, Casuccio A, et al. </w:t>
      </w:r>
      <w:r w:rsidRPr="00A87F71">
        <w:t>Comparison of octreotide and hyoscine butylbromide in controlling gastrointestinal symptoms due to malignant inoperable bowel obstruction. Support Care Cancer. 2000;8(3):188-191.</w:t>
      </w:r>
    </w:p>
    <w:p w14:paraId="5DC7F7AC" w14:textId="77777777" w:rsidR="007E3212" w:rsidRPr="00A87F71" w:rsidRDefault="007E3212" w:rsidP="00A87F71">
      <w:pPr>
        <w:pStyle w:val="ReferenceOrdered"/>
      </w:pPr>
      <w:r w:rsidRPr="00A87F71">
        <w:t>Dorta G. Role of octreotide and somatostatin in the treatment of intestinal fistulae. Digestion. 1999;60 Suppl 2:53-56.</w:t>
      </w:r>
    </w:p>
    <w:p w14:paraId="5B756404" w14:textId="77777777" w:rsidR="007E3212" w:rsidRPr="00A87F71" w:rsidRDefault="007E3212" w:rsidP="00A87F71">
      <w:pPr>
        <w:pStyle w:val="ReferenceOrdered"/>
      </w:pPr>
      <w:r w:rsidRPr="00A87F71">
        <w:t>Jamil M, Ahmed U, Sobia H. Role of somatostatin analogues in the management of enterocutaneous fistulae. J Coll Physicians Surg Pak. 2004;14(4):237-240.</w:t>
      </w:r>
    </w:p>
    <w:p w14:paraId="418AC1D3" w14:textId="77777777" w:rsidR="007E3212" w:rsidRPr="00A87F71" w:rsidRDefault="007E3212" w:rsidP="00A87F71">
      <w:pPr>
        <w:pStyle w:val="ReferenceOrdered"/>
      </w:pPr>
      <w:r w:rsidRPr="00A87F71">
        <w:t>Rahbour G, Siddiqui MR, Ullah MR, et al. A meta-analysis of outcomes following use of somatostatin and its analogues for the management of enterocutaneous fistulas. Ann Surg. 2012;256(6):946-954.</w:t>
      </w:r>
    </w:p>
    <w:p w14:paraId="033A835D" w14:textId="77777777" w:rsidR="007E3212" w:rsidRPr="00A87F71" w:rsidRDefault="007E3212" w:rsidP="00A87F71">
      <w:pPr>
        <w:pStyle w:val="ReferenceOrdered"/>
      </w:pPr>
      <w:r w:rsidRPr="00F236EA">
        <w:rPr>
          <w:lang w:val="fr-BE"/>
        </w:rPr>
        <w:t xml:space="preserve">Freitas DS, Sofia C, Pontes JM, et al. </w:t>
      </w:r>
      <w:r w:rsidRPr="00A87F71">
        <w:t>Octreotide in acute bleeding esophageal varices: A prospective randomized study. Hepatogastroenterology. 2000;47(35):1310-1314.</w:t>
      </w:r>
    </w:p>
    <w:p w14:paraId="76CE33BD" w14:textId="77777777" w:rsidR="007E3212" w:rsidRPr="00A87F71" w:rsidRDefault="007E3212" w:rsidP="00A87F71">
      <w:pPr>
        <w:pStyle w:val="ReferenceOrdered"/>
      </w:pPr>
      <w:r w:rsidRPr="00A87F71">
        <w:t>Imperiale TF, Teran JC, McCullough AJ. A meta-analysis of somatostatin versus vasopressin in the management of acute esophageal variceal hemorrhage. Gastroenterology. 1995;109(4):1289-1294.</w:t>
      </w:r>
    </w:p>
    <w:p w14:paraId="5FA3D944" w14:textId="77777777" w:rsidR="007E3212" w:rsidRPr="00A87F71" w:rsidRDefault="007E3212" w:rsidP="00A87F71">
      <w:pPr>
        <w:pStyle w:val="ReferenceOrdered"/>
      </w:pPr>
      <w:r w:rsidRPr="00A87F71">
        <w:t>Gøtzsche PC, Hróbjartsson A. Somatostatin analogues for acute bleeding oesophageal varices. Cochrane Database Syst Rev. 2008;(3):CD000193.</w:t>
      </w:r>
    </w:p>
    <w:p w14:paraId="2BD2DCFF" w14:textId="77777777" w:rsidR="007E3212" w:rsidRPr="00A87F71" w:rsidRDefault="007E3212" w:rsidP="00A87F71">
      <w:pPr>
        <w:pStyle w:val="ReferenceOrdered"/>
      </w:pPr>
      <w:r w:rsidRPr="00A87F71">
        <w:t>Erstad BL. Octreotide for acute variceal bleeding. Ann Pharmacother. 2001;35(5):618-626.</w:t>
      </w:r>
    </w:p>
    <w:p w14:paraId="5374ED90" w14:textId="77777777" w:rsidR="007E3212" w:rsidRPr="00A87F71" w:rsidRDefault="007E3212" w:rsidP="00A87F71">
      <w:pPr>
        <w:pStyle w:val="ReferenceOrdered"/>
      </w:pPr>
      <w:r w:rsidRPr="00A34D4C">
        <w:rPr>
          <w:lang w:val="it-IT"/>
        </w:rPr>
        <w:t xml:space="preserve">Corley DA, Cello JP, Adkisson W, et al. </w:t>
      </w:r>
      <w:r w:rsidRPr="00A87F71">
        <w:t>Octreotide for acute esophageal variceal bleeding: A meta-analysis. Gastroenterology. 2001;120(4):946-954.</w:t>
      </w:r>
    </w:p>
    <w:p w14:paraId="47CA9FBA" w14:textId="77777777" w:rsidR="007E3212" w:rsidRPr="00A87F71" w:rsidRDefault="007E3212" w:rsidP="00A87F71">
      <w:pPr>
        <w:pStyle w:val="ReferenceOrdered"/>
      </w:pPr>
      <w:r w:rsidRPr="00A87F71">
        <w:t>Gross M, Schiemann U, Muhlhofer A, Zoller WG. Meta-analysis: Efficacy of therapeutic regimens in ongoing variceal bleeding. Endoscopy. 2001;33(9):737-746.</w:t>
      </w:r>
    </w:p>
    <w:p w14:paraId="7FC6922C" w14:textId="77777777" w:rsidR="003643A7" w:rsidRDefault="007E3212" w:rsidP="00A87F71">
      <w:pPr>
        <w:pStyle w:val="ReferenceOrdered"/>
      </w:pPr>
      <w:r w:rsidRPr="00A87F71">
        <w:t>Li-Ling J, Irving M. Somatostatin and octreotide in the prevention of postoperative pancreatic complications and the treatment of enterocutaneous pancreatic fistulas: A systematic review of randomized controlled trials. Br J Surg. 2001;88(2):190-199.</w:t>
      </w:r>
    </w:p>
    <w:p w14:paraId="1CF121A3" w14:textId="77777777" w:rsidR="007E3212" w:rsidRPr="00A87F71" w:rsidRDefault="007E3212" w:rsidP="00A87F71">
      <w:pPr>
        <w:pStyle w:val="ReferenceOrdered"/>
      </w:pPr>
      <w:r w:rsidRPr="00A87F71">
        <w:t>Machado NO. Pancreatic fistula after pancreatectomy: Definitions, risk factors, preventive measures, and management – Review. Int J Surg Oncol. 2012;2012:602478.</w:t>
      </w:r>
    </w:p>
    <w:p w14:paraId="69A419DE" w14:textId="29E0813D" w:rsidR="007E3212" w:rsidRPr="00A87F71" w:rsidRDefault="007E3212" w:rsidP="00A87F71">
      <w:pPr>
        <w:pStyle w:val="ReferenceOrdered"/>
      </w:pPr>
      <w:r w:rsidRPr="00B16658">
        <w:rPr>
          <w:lang w:val="it-IT"/>
        </w:rPr>
        <w:t>Adachi T, Kuroki T, Kitasato A, et al.</w:t>
      </w:r>
      <w:r w:rsidR="00FF13F8" w:rsidRPr="00B16658">
        <w:rPr>
          <w:lang w:val="it-IT"/>
        </w:rPr>
        <w:t xml:space="preserve"> </w:t>
      </w:r>
      <w:r w:rsidRPr="00A87F71">
        <w:t>Safety and efficacy of early drain removal and triple-drug therapy to prevent pancreatic fistula after distal pancreatectomy. Pancreatology 2015;15:411-416.</w:t>
      </w:r>
    </w:p>
    <w:p w14:paraId="57814791" w14:textId="77777777" w:rsidR="007E3212" w:rsidRPr="00A87F71" w:rsidRDefault="007E3212" w:rsidP="00A87F71">
      <w:pPr>
        <w:pStyle w:val="ReferenceOrdered"/>
      </w:pPr>
      <w:r w:rsidRPr="00A87F71">
        <w:t>Gurusamy KS, Koti R, Fusai G, Davidson BR. Somatostatin analogues for pancreatic surgery. Cochrane Database Syst Rev. 2013;4:CD008370.</w:t>
      </w:r>
    </w:p>
    <w:p w14:paraId="15A3716D" w14:textId="77777777" w:rsidR="007E3212" w:rsidRPr="00A87F71" w:rsidRDefault="007E3212" w:rsidP="00A87F71">
      <w:pPr>
        <w:pStyle w:val="ReferenceOrdered"/>
      </w:pPr>
      <w:r w:rsidRPr="00A87F71">
        <w:t>Alberta Provincial CNS Tumour Team. Pituitary adenomas. Clinical Practice Guideline No. CNS-006 Edmonton, AB: Alberta Health Services, Cancer Care; August 2012.</w:t>
      </w:r>
    </w:p>
    <w:p w14:paraId="416CD4D5" w14:textId="77777777" w:rsidR="00F36904" w:rsidRDefault="007E3212" w:rsidP="00A87F71">
      <w:pPr>
        <w:pStyle w:val="ReferenceOrdered"/>
      </w:pPr>
      <w:r w:rsidRPr="00A87F71">
        <w:t>Peeters M, Van den Brande J, Francque S. Diarrhea and the rationale to use Sandostatin. Acta Gastroenterol Belg. 2010;73(1):25-36.</w:t>
      </w:r>
    </w:p>
    <w:p w14:paraId="3BD7DB62" w14:textId="77777777" w:rsidR="007E3212" w:rsidRPr="00A87F71" w:rsidRDefault="007E3212" w:rsidP="00A87F71">
      <w:pPr>
        <w:pStyle w:val="ReferenceOrdered"/>
      </w:pPr>
      <w:r w:rsidRPr="00A87F71">
        <w:t>Mystakidou K, Tsilika E, Kalaidopoulou O, et al. Comparison of octreotide administration vs conservative treatment in the management of inoperable bowel obstruction in patients with far advanced cancer: A randomized, double- blind, controlled clinical trial. Anticancer Res. 2002;22(2B):1187-1192.</w:t>
      </w:r>
    </w:p>
    <w:p w14:paraId="630819A3" w14:textId="77777777" w:rsidR="007E3212" w:rsidRPr="00A87F71" w:rsidRDefault="007E3212" w:rsidP="00A87F71">
      <w:pPr>
        <w:pStyle w:val="ReferenceOrdered"/>
      </w:pPr>
      <w:r w:rsidRPr="00A87F71">
        <w:t>American Gastroenterological Association. American Gastroenterological Association medical position statement: Short bowel syndrome and intestinal transplantation. Gastroenterology. 2003;124(4):1105-1110.</w:t>
      </w:r>
    </w:p>
    <w:p w14:paraId="48CC76A7" w14:textId="77777777" w:rsidR="007E3212" w:rsidRPr="00A87F71" w:rsidRDefault="007E3212" w:rsidP="00A87F71">
      <w:pPr>
        <w:pStyle w:val="ReferenceOrdered"/>
      </w:pPr>
      <w:r w:rsidRPr="00A87F71">
        <w:t>Loehrer PJ Sr, Wang W, Johnson DH, et al. Octreotide alone or with prednisone in patients with advanced thymoma and thymic carcinoma: An Eastern Cooperative Oncology Group Phase II Trial. J Clin Oncol. 2004;22(2):293-299.</w:t>
      </w:r>
    </w:p>
    <w:p w14:paraId="66F0C8D8" w14:textId="77777777" w:rsidR="007E3212" w:rsidRPr="00A87F71" w:rsidRDefault="007E3212" w:rsidP="00A87F71">
      <w:pPr>
        <w:pStyle w:val="ReferenceOrdered"/>
      </w:pPr>
      <w:r w:rsidRPr="00B16658">
        <w:rPr>
          <w:lang w:val="it-IT"/>
        </w:rPr>
        <w:t xml:space="preserve">Leandros E, Antonakis PT, Albanopoulos K, et al. </w:t>
      </w:r>
      <w:r w:rsidRPr="00A87F71">
        <w:t>Somatostatin versus octreotide in the treatment of patients with gastrointestinal and pancreatic fistulas. Can J Gastroenterol. 2004;18(5):303-306.</w:t>
      </w:r>
    </w:p>
    <w:p w14:paraId="3E56010D" w14:textId="77777777" w:rsidR="007E3212" w:rsidRPr="00A87F71" w:rsidRDefault="007E3212" w:rsidP="00A87F71">
      <w:pPr>
        <w:pStyle w:val="ReferenceOrdered"/>
      </w:pPr>
      <w:r w:rsidRPr="00A34D4C">
        <w:rPr>
          <w:lang w:val="sv-SE"/>
        </w:rPr>
        <w:t xml:space="preserve">Allen PJ, Gonen M, Brennan MF, et al. </w:t>
      </w:r>
      <w:r w:rsidRPr="00A87F71">
        <w:t>Pasireotide for postoperative pancreatic fistula. N Engl J Med. 2014;370(21):2014-2022.</w:t>
      </w:r>
    </w:p>
    <w:p w14:paraId="04732FDC" w14:textId="20646AF7" w:rsidR="007E3212" w:rsidRPr="00A87F71" w:rsidRDefault="007E3212" w:rsidP="00A87F71">
      <w:pPr>
        <w:pStyle w:val="ReferenceOrdered"/>
      </w:pPr>
      <w:r w:rsidRPr="00A87F71">
        <w:t xml:space="preserve">Bynfezia Pen [package insert]. Cranbury, NJ: Sun Pharmaceutical Industries Inc.; </w:t>
      </w:r>
      <w:r w:rsidR="00350B2E">
        <w:t>September</w:t>
      </w:r>
      <w:r w:rsidRPr="00A87F71">
        <w:t xml:space="preserve"> 202</w:t>
      </w:r>
      <w:r w:rsidR="00350B2E">
        <w:t>4</w:t>
      </w:r>
      <w:r w:rsidRPr="00A87F71">
        <w:t>.</w:t>
      </w:r>
    </w:p>
    <w:p w14:paraId="51FFC01F" w14:textId="076135A8" w:rsidR="007E3212" w:rsidRPr="00A87F71" w:rsidRDefault="007E3212" w:rsidP="00A87F71">
      <w:pPr>
        <w:pStyle w:val="ReferenceOrdered"/>
      </w:pPr>
      <w:r w:rsidRPr="00A87F71">
        <w:t xml:space="preserve">Mycapssa [package insert]. Dublin, Ireland: Amryt Pharmaceuticals, Inc.; </w:t>
      </w:r>
      <w:r w:rsidR="00293DD2">
        <w:t>August</w:t>
      </w:r>
      <w:r w:rsidR="00293DD2" w:rsidRPr="00A87F71">
        <w:t xml:space="preserve"> </w:t>
      </w:r>
      <w:r w:rsidRPr="00A87F71">
        <w:t>202</w:t>
      </w:r>
      <w:r w:rsidR="00293DD2">
        <w:t>4</w:t>
      </w:r>
      <w:r w:rsidRPr="00A87F71">
        <w:t>.</w:t>
      </w:r>
    </w:p>
    <w:p w14:paraId="0E0381CE" w14:textId="4BBD1947" w:rsidR="003643A7" w:rsidRDefault="007E3212" w:rsidP="00A87F71">
      <w:pPr>
        <w:pStyle w:val="ReferenceOrdered"/>
      </w:pPr>
      <w:r w:rsidRPr="00A87F71">
        <w:t xml:space="preserve">Lexicomp Online®, Lexi-Drugs. Waltham, MA: UpToDate, Inc.; Updated November </w:t>
      </w:r>
      <w:r w:rsidR="00942F6F">
        <w:t>6</w:t>
      </w:r>
      <w:r w:rsidRPr="00A87F71">
        <w:t xml:space="preserve"> , 202</w:t>
      </w:r>
      <w:r w:rsidR="00942F6F">
        <w:t>4</w:t>
      </w:r>
      <w:r w:rsidRPr="00A87F71">
        <w:t xml:space="preserve">. http://online.lexi.com [available with subscription]. Accessed November </w:t>
      </w:r>
      <w:r w:rsidR="00350B2E">
        <w:t>8</w:t>
      </w:r>
      <w:r w:rsidRPr="00A87F71">
        <w:t>, 202</w:t>
      </w:r>
      <w:r w:rsidR="00350B2E">
        <w:t>4</w:t>
      </w:r>
      <w:r w:rsidR="00FF66BF" w:rsidRPr="00A87F71">
        <w:t>.</w:t>
      </w:r>
    </w:p>
    <w:p w14:paraId="72A6E98D" w14:textId="23EBC0ED" w:rsidR="00532103" w:rsidRPr="00A87F71" w:rsidRDefault="00532103" w:rsidP="00A87F71">
      <w:pPr>
        <w:pStyle w:val="ReferenceOrdered"/>
      </w:pPr>
      <w:r>
        <w:t xml:space="preserve">Octreotide </w:t>
      </w:r>
      <w:r w:rsidR="00AB6277">
        <w:t>acetate for injectable suspension. Parsippany, NJ: Teva Pharmaceuticals; January 2024.</w:t>
      </w:r>
    </w:p>
    <w:sectPr w:rsidR="00532103" w:rsidRPr="00A87F71" w:rsidSect="00E842A7">
      <w:footerReference w:type="defaul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9B657" w14:textId="77777777" w:rsidR="00CE537D" w:rsidRDefault="00CE537D">
      <w:r>
        <w:separator/>
      </w:r>
    </w:p>
  </w:endnote>
  <w:endnote w:type="continuationSeparator" w:id="0">
    <w:p w14:paraId="561FA9C7" w14:textId="77777777" w:rsidR="00CE537D" w:rsidRDefault="00CE537D">
      <w:r>
        <w:continuationSeparator/>
      </w:r>
    </w:p>
  </w:endnote>
  <w:endnote w:type="continuationNotice" w:id="1">
    <w:p w14:paraId="6633A614" w14:textId="77777777" w:rsidR="00CE537D" w:rsidRDefault="00CE5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DB2528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42CFB" w:rsidRPr="00C42CFB">
      <w:rPr>
        <w:rFonts w:cs="Arial"/>
        <w:noProof/>
        <w:sz w:val="16"/>
        <w:szCs w:val="16"/>
      </w:rPr>
      <w:t>octreotide</w:t>
    </w:r>
    <w:r w:rsidR="00C42CFB">
      <w:rPr>
        <w:rFonts w:cs="Arial"/>
        <w:noProof/>
        <w:snapToGrid w:val="0"/>
        <w:color w:val="000000"/>
        <w:sz w:val="16"/>
        <w:szCs w:val="16"/>
      </w:rPr>
      <w:t xml:space="preserve"> products SGM</w:t>
    </w:r>
    <w:r w:rsidR="00C42CFB" w:rsidRPr="00C42CFB">
      <w:rPr>
        <w:rFonts w:cs="Arial"/>
        <w:noProof/>
        <w:sz w:val="16"/>
        <w:szCs w:val="16"/>
      </w:rPr>
      <w:t xml:space="preserve"> 1734-A</w:t>
    </w:r>
    <w:r w:rsidR="00C42CFB">
      <w:rPr>
        <w:rFonts w:cs="Arial"/>
        <w:noProof/>
        <w:snapToGrid w:val="0"/>
        <w:color w:val="000000"/>
        <w:sz w:val="16"/>
        <w:szCs w:val="16"/>
      </w:rPr>
      <w:t xml:space="preserve"> 2025_R.docx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D15835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3CC25E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90224" w:rsidRPr="00290224">
      <w:rPr>
        <w:rFonts w:cs="Arial"/>
        <w:noProof/>
        <w:sz w:val="16"/>
        <w:szCs w:val="16"/>
      </w:rPr>
      <w:t>octreotide</w:t>
    </w:r>
    <w:r w:rsidR="00290224">
      <w:rPr>
        <w:rFonts w:cs="Arial"/>
        <w:noProof/>
        <w:snapToGrid w:val="0"/>
        <w:color w:val="000000"/>
        <w:sz w:val="16"/>
        <w:szCs w:val="16"/>
      </w:rPr>
      <w:t xml:space="preserve"> products </w:t>
    </w:r>
    <w:r w:rsidR="00290224" w:rsidRPr="00290224">
      <w:rPr>
        <w:rFonts w:cs="Arial"/>
        <w:noProof/>
        <w:sz w:val="16"/>
        <w:szCs w:val="16"/>
      </w:rPr>
      <w:t>SGM</w:t>
    </w:r>
    <w:r w:rsidR="00290224">
      <w:rPr>
        <w:rFonts w:cs="Arial"/>
        <w:noProof/>
        <w:snapToGrid w:val="0"/>
        <w:color w:val="000000"/>
        <w:sz w:val="16"/>
        <w:szCs w:val="16"/>
      </w:rPr>
      <w:t xml:space="preserve"> 1734-A</w:t>
    </w:r>
    <w:r w:rsidR="00290224" w:rsidRPr="0029022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350B2E">
      <w:rPr>
        <w:rFonts w:cs="Arial"/>
        <w:snapToGrid w:val="0"/>
        <w:color w:val="000000"/>
        <w:sz w:val="16"/>
      </w:rPr>
      <w:t>5</w:t>
    </w:r>
    <w:r w:rsidRPr="00EC47B6">
      <w:rPr>
        <w:rFonts w:cs="Arial"/>
        <w:snapToGrid w:val="0"/>
        <w:color w:val="000000"/>
        <w:sz w:val="16"/>
      </w:rPr>
      <w:t xml:space="preserve"> CVS Caremark. All rights reserved.</w:t>
    </w:r>
  </w:p>
  <w:p w14:paraId="39BFE579" w14:textId="144A23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228B25E" w:rsidR="00ED04EC" w:rsidRPr="00F50D98" w:rsidRDefault="00F50D98" w:rsidP="00F236E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FB014" w14:textId="6B176A91" w:rsidR="00A87F71" w:rsidRPr="00EC47B6" w:rsidRDefault="00A87F71" w:rsidP="00A87F71">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90224" w:rsidRPr="00290224">
      <w:rPr>
        <w:rFonts w:cs="Arial"/>
        <w:noProof/>
        <w:sz w:val="16"/>
        <w:szCs w:val="16"/>
      </w:rPr>
      <w:t>octreotide</w:t>
    </w:r>
    <w:r w:rsidR="00290224">
      <w:rPr>
        <w:rFonts w:cs="Arial"/>
        <w:noProof/>
        <w:snapToGrid w:val="0"/>
        <w:color w:val="000000"/>
        <w:sz w:val="16"/>
        <w:szCs w:val="16"/>
      </w:rPr>
      <w:t xml:space="preserve"> products </w:t>
    </w:r>
    <w:r w:rsidR="00290224" w:rsidRPr="00290224">
      <w:rPr>
        <w:rFonts w:cs="Arial"/>
        <w:noProof/>
        <w:sz w:val="16"/>
        <w:szCs w:val="16"/>
      </w:rPr>
      <w:t>SGM</w:t>
    </w:r>
    <w:r w:rsidR="00290224">
      <w:rPr>
        <w:rFonts w:cs="Arial"/>
        <w:noProof/>
        <w:snapToGrid w:val="0"/>
        <w:color w:val="000000"/>
        <w:sz w:val="16"/>
        <w:szCs w:val="16"/>
      </w:rPr>
      <w:t xml:space="preserve"> 1734-A</w:t>
    </w:r>
    <w:r w:rsidR="00290224" w:rsidRPr="0029022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2024 CVS Caremark. All rights reserved.</w:t>
    </w:r>
  </w:p>
  <w:p w14:paraId="2A22BA45" w14:textId="6B13DC2B" w:rsidR="00A87F71" w:rsidRPr="00EC47B6" w:rsidRDefault="00A87F71" w:rsidP="00A87F71">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14C7BB8" w14:textId="54B09EFB" w:rsidR="00A87F71" w:rsidRPr="003643A7" w:rsidRDefault="00A87F71" w:rsidP="00F236E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7</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6834" w14:textId="77777777" w:rsidR="00CE537D" w:rsidRDefault="00CE537D">
      <w:r>
        <w:separator/>
      </w:r>
    </w:p>
  </w:footnote>
  <w:footnote w:type="continuationSeparator" w:id="0">
    <w:p w14:paraId="4E54BF93" w14:textId="77777777" w:rsidR="00CE537D" w:rsidRDefault="00CE537D">
      <w:r>
        <w:continuationSeparator/>
      </w:r>
    </w:p>
  </w:footnote>
  <w:footnote w:type="continuationNotice" w:id="1">
    <w:p w14:paraId="39ABAE0E" w14:textId="77777777" w:rsidR="00CE537D" w:rsidRDefault="00CE53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F13F8" w:rsidRDefault="00ED04EC" w:rsidP="00ED04EC">
          <w:pPr>
            <w:pStyle w:val="Header"/>
            <w:rPr>
              <w:rFonts w:cs="Arial"/>
              <w:sz w:val="16"/>
              <w:szCs w:val="16"/>
            </w:rPr>
          </w:pPr>
          <w:r w:rsidRPr="00FF13F8">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0794E19" w:rsidR="00ED04EC" w:rsidRPr="00FF13F8" w:rsidRDefault="00FD69E8" w:rsidP="00ED04EC">
          <w:pPr>
            <w:pStyle w:val="Header"/>
            <w:rPr>
              <w:rFonts w:cs="Arial"/>
              <w:sz w:val="16"/>
              <w:szCs w:val="16"/>
            </w:rPr>
          </w:pPr>
          <w:r w:rsidRPr="00FF13F8">
            <w:rPr>
              <w:rFonts w:cs="Arial"/>
              <w:sz w:val="16"/>
              <w:szCs w:val="16"/>
            </w:rPr>
            <w:t>1734-A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8E6FF2"/>
    <w:multiLevelType w:val="hybridMultilevel"/>
    <w:tmpl w:val="2528D77E"/>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1C9088C"/>
    <w:multiLevelType w:val="hybridMultilevel"/>
    <w:tmpl w:val="05CEF7D6"/>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0370FC"/>
    <w:multiLevelType w:val="hybridMultilevel"/>
    <w:tmpl w:val="949E18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497D96"/>
    <w:multiLevelType w:val="hybridMultilevel"/>
    <w:tmpl w:val="625E229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915303"/>
    <w:multiLevelType w:val="hybridMultilevel"/>
    <w:tmpl w:val="BED44594"/>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E1C40A7"/>
    <w:multiLevelType w:val="hybridMultilevel"/>
    <w:tmpl w:val="FC98F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8E49FA"/>
    <w:multiLevelType w:val="hybridMultilevel"/>
    <w:tmpl w:val="939A138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20C37F08"/>
    <w:multiLevelType w:val="hybridMultilevel"/>
    <w:tmpl w:val="A4D618B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1FC6641"/>
    <w:multiLevelType w:val="hybridMultilevel"/>
    <w:tmpl w:val="3A06413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3215A5A"/>
    <w:multiLevelType w:val="hybridMultilevel"/>
    <w:tmpl w:val="08FE6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6B24DB"/>
    <w:multiLevelType w:val="hybridMultilevel"/>
    <w:tmpl w:val="3D9625F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902470E"/>
    <w:multiLevelType w:val="hybridMultilevel"/>
    <w:tmpl w:val="B678C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D85F6B"/>
    <w:multiLevelType w:val="hybridMultilevel"/>
    <w:tmpl w:val="96BEA1AA"/>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93342A"/>
    <w:multiLevelType w:val="hybridMultilevel"/>
    <w:tmpl w:val="D3449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CC44D1"/>
    <w:multiLevelType w:val="hybridMultilevel"/>
    <w:tmpl w:val="7FF0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653B01"/>
    <w:multiLevelType w:val="hybridMultilevel"/>
    <w:tmpl w:val="87E6EFB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93C609D"/>
    <w:multiLevelType w:val="hybridMultilevel"/>
    <w:tmpl w:val="887ED85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106EEC"/>
    <w:multiLevelType w:val="hybridMultilevel"/>
    <w:tmpl w:val="28EAF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722F80"/>
    <w:multiLevelType w:val="hybridMultilevel"/>
    <w:tmpl w:val="158E4A58"/>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42F79DB"/>
    <w:multiLevelType w:val="hybridMultilevel"/>
    <w:tmpl w:val="3648E8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4273C8"/>
    <w:multiLevelType w:val="hybridMultilevel"/>
    <w:tmpl w:val="43A2F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40"/>
  </w:num>
  <w:num w:numId="3" w16cid:durableId="611589570">
    <w:abstractNumId w:val="3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7"/>
  </w:num>
  <w:num w:numId="17" w16cid:durableId="2128498676">
    <w:abstractNumId w:val="47"/>
  </w:num>
  <w:num w:numId="18" w16cid:durableId="299724409">
    <w:abstractNumId w:val="36"/>
  </w:num>
  <w:num w:numId="19" w16cid:durableId="214585573">
    <w:abstractNumId w:val="18"/>
  </w:num>
  <w:num w:numId="20" w16cid:durableId="1289816170">
    <w:abstractNumId w:val="21"/>
  </w:num>
  <w:num w:numId="21" w16cid:durableId="1066490929">
    <w:abstractNumId w:val="48"/>
  </w:num>
  <w:num w:numId="22" w16cid:durableId="1472481103">
    <w:abstractNumId w:val="38"/>
  </w:num>
  <w:num w:numId="23" w16cid:durableId="1997420403">
    <w:abstractNumId w:val="41"/>
  </w:num>
  <w:num w:numId="24" w16cid:durableId="33312838">
    <w:abstractNumId w:val="37"/>
  </w:num>
  <w:num w:numId="25" w16cid:durableId="507404939">
    <w:abstractNumId w:val="26"/>
  </w:num>
  <w:num w:numId="26" w16cid:durableId="1950313333">
    <w:abstractNumId w:val="32"/>
  </w:num>
  <w:num w:numId="27" w16cid:durableId="1866016584">
    <w:abstractNumId w:val="30"/>
  </w:num>
  <w:num w:numId="28" w16cid:durableId="393700055">
    <w:abstractNumId w:val="25"/>
  </w:num>
  <w:num w:numId="29" w16cid:durableId="111483901">
    <w:abstractNumId w:val="46"/>
  </w:num>
  <w:num w:numId="30" w16cid:durableId="2123457668">
    <w:abstractNumId w:val="42"/>
  </w:num>
  <w:num w:numId="31" w16cid:durableId="48578915">
    <w:abstractNumId w:val="44"/>
  </w:num>
  <w:num w:numId="32" w16cid:durableId="1042631724">
    <w:abstractNumId w:val="45"/>
  </w:num>
  <w:num w:numId="33" w16cid:durableId="579749709">
    <w:abstractNumId w:val="23"/>
  </w:num>
  <w:num w:numId="34" w16cid:durableId="1508786665">
    <w:abstractNumId w:val="35"/>
  </w:num>
  <w:num w:numId="35" w16cid:durableId="857279213">
    <w:abstractNumId w:val="34"/>
  </w:num>
  <w:num w:numId="36" w16cid:durableId="1437020506">
    <w:abstractNumId w:val="15"/>
  </w:num>
  <w:num w:numId="37" w16cid:durableId="96994987">
    <w:abstractNumId w:val="48"/>
  </w:num>
  <w:num w:numId="38" w16cid:durableId="1664704442">
    <w:abstractNumId w:val="29"/>
  </w:num>
  <w:num w:numId="39" w16cid:durableId="466900778">
    <w:abstractNumId w:val="19"/>
  </w:num>
  <w:num w:numId="40" w16cid:durableId="1477145440">
    <w:abstractNumId w:val="11"/>
  </w:num>
  <w:num w:numId="41" w16cid:durableId="2133862462">
    <w:abstractNumId w:val="14"/>
  </w:num>
  <w:num w:numId="42" w16cid:durableId="514614893">
    <w:abstractNumId w:val="28"/>
  </w:num>
  <w:num w:numId="43" w16cid:durableId="1101144227">
    <w:abstractNumId w:val="20"/>
  </w:num>
  <w:num w:numId="44" w16cid:durableId="517963171">
    <w:abstractNumId w:val="17"/>
  </w:num>
  <w:num w:numId="45" w16cid:durableId="1457483905">
    <w:abstractNumId w:val="39"/>
  </w:num>
  <w:num w:numId="46" w16cid:durableId="843978110">
    <w:abstractNumId w:val="16"/>
  </w:num>
  <w:num w:numId="47" w16cid:durableId="386876355">
    <w:abstractNumId w:val="31"/>
  </w:num>
  <w:num w:numId="48" w16cid:durableId="1001928742">
    <w:abstractNumId w:val="22"/>
  </w:num>
  <w:num w:numId="49" w16cid:durableId="403571721">
    <w:abstractNumId w:val="43"/>
  </w:num>
  <w:num w:numId="50" w16cid:durableId="501435409">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BFF"/>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A7A"/>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11F"/>
    <w:rsid w:val="00070758"/>
    <w:rsid w:val="000709C1"/>
    <w:rsid w:val="00070C48"/>
    <w:rsid w:val="000717F6"/>
    <w:rsid w:val="00071A7F"/>
    <w:rsid w:val="0007286F"/>
    <w:rsid w:val="000749E4"/>
    <w:rsid w:val="00074BFE"/>
    <w:rsid w:val="000755C3"/>
    <w:rsid w:val="00075C18"/>
    <w:rsid w:val="000760A2"/>
    <w:rsid w:val="000760F2"/>
    <w:rsid w:val="000762CE"/>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D9B"/>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47"/>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385A"/>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25E"/>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43"/>
    <w:rsid w:val="00107394"/>
    <w:rsid w:val="001074E7"/>
    <w:rsid w:val="001075C1"/>
    <w:rsid w:val="00107B1D"/>
    <w:rsid w:val="00110AF8"/>
    <w:rsid w:val="00110DE3"/>
    <w:rsid w:val="00110F57"/>
    <w:rsid w:val="00111842"/>
    <w:rsid w:val="001120B7"/>
    <w:rsid w:val="00113842"/>
    <w:rsid w:val="00113CBE"/>
    <w:rsid w:val="0011411C"/>
    <w:rsid w:val="00115519"/>
    <w:rsid w:val="001155D7"/>
    <w:rsid w:val="001156BC"/>
    <w:rsid w:val="001159B3"/>
    <w:rsid w:val="0011622E"/>
    <w:rsid w:val="00117495"/>
    <w:rsid w:val="0011772F"/>
    <w:rsid w:val="001202DD"/>
    <w:rsid w:val="00121BD0"/>
    <w:rsid w:val="00121F7F"/>
    <w:rsid w:val="00121FD7"/>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2D4E"/>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0833"/>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A24"/>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2E71"/>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788"/>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712"/>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224"/>
    <w:rsid w:val="00290525"/>
    <w:rsid w:val="00290713"/>
    <w:rsid w:val="0029078F"/>
    <w:rsid w:val="00290C26"/>
    <w:rsid w:val="00290F61"/>
    <w:rsid w:val="0029112F"/>
    <w:rsid w:val="0029237C"/>
    <w:rsid w:val="002924BA"/>
    <w:rsid w:val="00292E08"/>
    <w:rsid w:val="00293003"/>
    <w:rsid w:val="00293574"/>
    <w:rsid w:val="00293DD2"/>
    <w:rsid w:val="00294324"/>
    <w:rsid w:val="002946D4"/>
    <w:rsid w:val="002947C0"/>
    <w:rsid w:val="002965CE"/>
    <w:rsid w:val="00296EC3"/>
    <w:rsid w:val="00297405"/>
    <w:rsid w:val="002A02BE"/>
    <w:rsid w:val="002A0A3B"/>
    <w:rsid w:val="002A0DB7"/>
    <w:rsid w:val="002A0F12"/>
    <w:rsid w:val="002A1602"/>
    <w:rsid w:val="002A1A1C"/>
    <w:rsid w:val="002A245D"/>
    <w:rsid w:val="002A300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3A99"/>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A37"/>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B2E"/>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3A7"/>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379"/>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23B"/>
    <w:rsid w:val="003A6459"/>
    <w:rsid w:val="003A7860"/>
    <w:rsid w:val="003A796A"/>
    <w:rsid w:val="003B009E"/>
    <w:rsid w:val="003B1472"/>
    <w:rsid w:val="003B1A5F"/>
    <w:rsid w:val="003B1D0F"/>
    <w:rsid w:val="003B282B"/>
    <w:rsid w:val="003B2B19"/>
    <w:rsid w:val="003B4BC1"/>
    <w:rsid w:val="003B4FB6"/>
    <w:rsid w:val="003B5550"/>
    <w:rsid w:val="003B5A8C"/>
    <w:rsid w:val="003B5C47"/>
    <w:rsid w:val="003B6158"/>
    <w:rsid w:val="003B641E"/>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ABE"/>
    <w:rsid w:val="003E3F3B"/>
    <w:rsid w:val="003E4C87"/>
    <w:rsid w:val="003E54DE"/>
    <w:rsid w:val="003E57BF"/>
    <w:rsid w:val="003E6FC2"/>
    <w:rsid w:val="003E7191"/>
    <w:rsid w:val="003E7944"/>
    <w:rsid w:val="003F057E"/>
    <w:rsid w:val="003F1304"/>
    <w:rsid w:val="003F21CF"/>
    <w:rsid w:val="003F21EE"/>
    <w:rsid w:val="003F2C67"/>
    <w:rsid w:val="003F5824"/>
    <w:rsid w:val="003F61E0"/>
    <w:rsid w:val="003F641B"/>
    <w:rsid w:val="003F6B36"/>
    <w:rsid w:val="003F75BB"/>
    <w:rsid w:val="003F7A17"/>
    <w:rsid w:val="004016D6"/>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2A4E"/>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14C"/>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5EA0"/>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EEE"/>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B75D0"/>
    <w:rsid w:val="004C00B9"/>
    <w:rsid w:val="004C03AC"/>
    <w:rsid w:val="004C0A3F"/>
    <w:rsid w:val="004C125D"/>
    <w:rsid w:val="004C32BE"/>
    <w:rsid w:val="004C3F91"/>
    <w:rsid w:val="004C4493"/>
    <w:rsid w:val="004C45E2"/>
    <w:rsid w:val="004C4D0C"/>
    <w:rsid w:val="004C53B2"/>
    <w:rsid w:val="004C64EE"/>
    <w:rsid w:val="004C6FCE"/>
    <w:rsid w:val="004C7CDB"/>
    <w:rsid w:val="004C7E69"/>
    <w:rsid w:val="004C7F1D"/>
    <w:rsid w:val="004D0231"/>
    <w:rsid w:val="004D0492"/>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5A4"/>
    <w:rsid w:val="0050562E"/>
    <w:rsid w:val="005057A5"/>
    <w:rsid w:val="00505BEF"/>
    <w:rsid w:val="0050618F"/>
    <w:rsid w:val="00511426"/>
    <w:rsid w:val="00511573"/>
    <w:rsid w:val="00512353"/>
    <w:rsid w:val="00512508"/>
    <w:rsid w:val="0051361C"/>
    <w:rsid w:val="00513C29"/>
    <w:rsid w:val="00513D8F"/>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03"/>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313"/>
    <w:rsid w:val="00542E88"/>
    <w:rsid w:val="005444CF"/>
    <w:rsid w:val="00544A60"/>
    <w:rsid w:val="00544D46"/>
    <w:rsid w:val="00545584"/>
    <w:rsid w:val="005462B1"/>
    <w:rsid w:val="0054721E"/>
    <w:rsid w:val="00547DC8"/>
    <w:rsid w:val="005519D4"/>
    <w:rsid w:val="00552A6C"/>
    <w:rsid w:val="00552AD2"/>
    <w:rsid w:val="005539ED"/>
    <w:rsid w:val="00553C00"/>
    <w:rsid w:val="00554C8D"/>
    <w:rsid w:val="005553FE"/>
    <w:rsid w:val="005555FB"/>
    <w:rsid w:val="00555E5B"/>
    <w:rsid w:val="00556A6F"/>
    <w:rsid w:val="0055710E"/>
    <w:rsid w:val="00557844"/>
    <w:rsid w:val="00560433"/>
    <w:rsid w:val="00560464"/>
    <w:rsid w:val="00560623"/>
    <w:rsid w:val="0056090D"/>
    <w:rsid w:val="00560E97"/>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76E1F"/>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6DE7"/>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CE9"/>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6CA"/>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D2B"/>
    <w:rsid w:val="0068254A"/>
    <w:rsid w:val="00683327"/>
    <w:rsid w:val="00683AAE"/>
    <w:rsid w:val="00683C7C"/>
    <w:rsid w:val="0068444E"/>
    <w:rsid w:val="00684881"/>
    <w:rsid w:val="00685086"/>
    <w:rsid w:val="00685107"/>
    <w:rsid w:val="00685164"/>
    <w:rsid w:val="006852BE"/>
    <w:rsid w:val="00685620"/>
    <w:rsid w:val="00685E5D"/>
    <w:rsid w:val="00686160"/>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1827"/>
    <w:rsid w:val="006E28B1"/>
    <w:rsid w:val="006E3E7B"/>
    <w:rsid w:val="006E3F80"/>
    <w:rsid w:val="006E423D"/>
    <w:rsid w:val="006E4C56"/>
    <w:rsid w:val="006E53FA"/>
    <w:rsid w:val="006E55CD"/>
    <w:rsid w:val="006E7677"/>
    <w:rsid w:val="006E7E43"/>
    <w:rsid w:val="006E7FCD"/>
    <w:rsid w:val="006F01E6"/>
    <w:rsid w:val="006F05FA"/>
    <w:rsid w:val="006F1131"/>
    <w:rsid w:val="006F214B"/>
    <w:rsid w:val="006F2882"/>
    <w:rsid w:val="006F392F"/>
    <w:rsid w:val="006F3EAE"/>
    <w:rsid w:val="006F42E6"/>
    <w:rsid w:val="006F53D8"/>
    <w:rsid w:val="006F5F82"/>
    <w:rsid w:val="006F6AD5"/>
    <w:rsid w:val="006F7127"/>
    <w:rsid w:val="006F71F9"/>
    <w:rsid w:val="00700342"/>
    <w:rsid w:val="007006E7"/>
    <w:rsid w:val="00701964"/>
    <w:rsid w:val="00701BB0"/>
    <w:rsid w:val="00702357"/>
    <w:rsid w:val="00702DB8"/>
    <w:rsid w:val="007034A9"/>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382"/>
    <w:rsid w:val="00760B2C"/>
    <w:rsid w:val="007616A0"/>
    <w:rsid w:val="007622EA"/>
    <w:rsid w:val="007627F6"/>
    <w:rsid w:val="00762AE4"/>
    <w:rsid w:val="00762DDD"/>
    <w:rsid w:val="0076331A"/>
    <w:rsid w:val="0076417D"/>
    <w:rsid w:val="00765BBE"/>
    <w:rsid w:val="00766061"/>
    <w:rsid w:val="007704F3"/>
    <w:rsid w:val="00770948"/>
    <w:rsid w:val="007709D1"/>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3C92"/>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2E85"/>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3212"/>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0DE4"/>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209"/>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E35"/>
    <w:rsid w:val="008B7F2F"/>
    <w:rsid w:val="008C0ECB"/>
    <w:rsid w:val="008C1818"/>
    <w:rsid w:val="008C30A0"/>
    <w:rsid w:val="008C3173"/>
    <w:rsid w:val="008C3DF1"/>
    <w:rsid w:val="008C42FB"/>
    <w:rsid w:val="008C45B6"/>
    <w:rsid w:val="008C54D9"/>
    <w:rsid w:val="008C5E4C"/>
    <w:rsid w:val="008C63D4"/>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3179"/>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AD7"/>
    <w:rsid w:val="00907D99"/>
    <w:rsid w:val="00910119"/>
    <w:rsid w:val="0091015A"/>
    <w:rsid w:val="00911462"/>
    <w:rsid w:val="0091183B"/>
    <w:rsid w:val="00911B53"/>
    <w:rsid w:val="00911B78"/>
    <w:rsid w:val="00912436"/>
    <w:rsid w:val="00914B83"/>
    <w:rsid w:val="009159E4"/>
    <w:rsid w:val="009166D3"/>
    <w:rsid w:val="00916BA8"/>
    <w:rsid w:val="00917E06"/>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D5C"/>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1B48"/>
    <w:rsid w:val="00942522"/>
    <w:rsid w:val="0094296E"/>
    <w:rsid w:val="0094298C"/>
    <w:rsid w:val="00942F6F"/>
    <w:rsid w:val="00943241"/>
    <w:rsid w:val="009434E1"/>
    <w:rsid w:val="0094553A"/>
    <w:rsid w:val="00946CDC"/>
    <w:rsid w:val="00947FC1"/>
    <w:rsid w:val="00950FF7"/>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2097"/>
    <w:rsid w:val="0099280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0AD"/>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2532"/>
    <w:rsid w:val="00A037A5"/>
    <w:rsid w:val="00A04292"/>
    <w:rsid w:val="00A051FE"/>
    <w:rsid w:val="00A05BED"/>
    <w:rsid w:val="00A05C06"/>
    <w:rsid w:val="00A05C6E"/>
    <w:rsid w:val="00A06128"/>
    <w:rsid w:val="00A06530"/>
    <w:rsid w:val="00A0687B"/>
    <w:rsid w:val="00A06974"/>
    <w:rsid w:val="00A073B1"/>
    <w:rsid w:val="00A07888"/>
    <w:rsid w:val="00A07A81"/>
    <w:rsid w:val="00A1000B"/>
    <w:rsid w:val="00A10362"/>
    <w:rsid w:val="00A11268"/>
    <w:rsid w:val="00A11ADE"/>
    <w:rsid w:val="00A1225D"/>
    <w:rsid w:val="00A12465"/>
    <w:rsid w:val="00A12A59"/>
    <w:rsid w:val="00A1366E"/>
    <w:rsid w:val="00A1485F"/>
    <w:rsid w:val="00A14BF4"/>
    <w:rsid w:val="00A14F1C"/>
    <w:rsid w:val="00A156C9"/>
    <w:rsid w:val="00A157EF"/>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4D4C"/>
    <w:rsid w:val="00A358F0"/>
    <w:rsid w:val="00A35CD1"/>
    <w:rsid w:val="00A36422"/>
    <w:rsid w:val="00A36474"/>
    <w:rsid w:val="00A379A5"/>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2F40"/>
    <w:rsid w:val="00A548C6"/>
    <w:rsid w:val="00A54C2F"/>
    <w:rsid w:val="00A55507"/>
    <w:rsid w:val="00A55EEF"/>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404"/>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87F71"/>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2FA7"/>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3C4"/>
    <w:rsid w:val="00AB3600"/>
    <w:rsid w:val="00AB3A4C"/>
    <w:rsid w:val="00AB3ACD"/>
    <w:rsid w:val="00AB3B7A"/>
    <w:rsid w:val="00AB5F0B"/>
    <w:rsid w:val="00AB6199"/>
    <w:rsid w:val="00AB6277"/>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B3D"/>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658"/>
    <w:rsid w:val="00B168CC"/>
    <w:rsid w:val="00B1690D"/>
    <w:rsid w:val="00B17345"/>
    <w:rsid w:val="00B20268"/>
    <w:rsid w:val="00B20527"/>
    <w:rsid w:val="00B2077A"/>
    <w:rsid w:val="00B20FC6"/>
    <w:rsid w:val="00B21816"/>
    <w:rsid w:val="00B22693"/>
    <w:rsid w:val="00B227A5"/>
    <w:rsid w:val="00B22806"/>
    <w:rsid w:val="00B228EE"/>
    <w:rsid w:val="00B22EA6"/>
    <w:rsid w:val="00B22F3E"/>
    <w:rsid w:val="00B235ED"/>
    <w:rsid w:val="00B253A6"/>
    <w:rsid w:val="00B25C33"/>
    <w:rsid w:val="00B25E29"/>
    <w:rsid w:val="00B2662C"/>
    <w:rsid w:val="00B26925"/>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AD4"/>
    <w:rsid w:val="00B52F0C"/>
    <w:rsid w:val="00B52F2D"/>
    <w:rsid w:val="00B5372D"/>
    <w:rsid w:val="00B54526"/>
    <w:rsid w:val="00B54B31"/>
    <w:rsid w:val="00B55FE1"/>
    <w:rsid w:val="00B569FC"/>
    <w:rsid w:val="00B57080"/>
    <w:rsid w:val="00B57430"/>
    <w:rsid w:val="00B574C8"/>
    <w:rsid w:val="00B57C0E"/>
    <w:rsid w:val="00B60A31"/>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97FEA"/>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0E31"/>
    <w:rsid w:val="00BE1277"/>
    <w:rsid w:val="00BE181E"/>
    <w:rsid w:val="00BE1A32"/>
    <w:rsid w:val="00BE23F2"/>
    <w:rsid w:val="00BE242F"/>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6E8C"/>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266D"/>
    <w:rsid w:val="00C42CFB"/>
    <w:rsid w:val="00C434A1"/>
    <w:rsid w:val="00C43760"/>
    <w:rsid w:val="00C43890"/>
    <w:rsid w:val="00C43D1B"/>
    <w:rsid w:val="00C44990"/>
    <w:rsid w:val="00C44DB8"/>
    <w:rsid w:val="00C458AA"/>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1"/>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6E40"/>
    <w:rsid w:val="00CD74BA"/>
    <w:rsid w:val="00CE0B55"/>
    <w:rsid w:val="00CE0E3E"/>
    <w:rsid w:val="00CE12A6"/>
    <w:rsid w:val="00CE1968"/>
    <w:rsid w:val="00CE1CC9"/>
    <w:rsid w:val="00CE2909"/>
    <w:rsid w:val="00CE317E"/>
    <w:rsid w:val="00CE409F"/>
    <w:rsid w:val="00CE4870"/>
    <w:rsid w:val="00CE537D"/>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2659"/>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398"/>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57C4"/>
    <w:rsid w:val="00D665CC"/>
    <w:rsid w:val="00D67252"/>
    <w:rsid w:val="00D70C19"/>
    <w:rsid w:val="00D71176"/>
    <w:rsid w:val="00D71FF6"/>
    <w:rsid w:val="00D728D1"/>
    <w:rsid w:val="00D72E79"/>
    <w:rsid w:val="00D73FF0"/>
    <w:rsid w:val="00D74279"/>
    <w:rsid w:val="00D750E0"/>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D7206"/>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4E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377"/>
    <w:rsid w:val="00E82475"/>
    <w:rsid w:val="00E82ABA"/>
    <w:rsid w:val="00E83A86"/>
    <w:rsid w:val="00E842A7"/>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B7E10"/>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57B2"/>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6EA"/>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904"/>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7C9"/>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182"/>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AF3"/>
    <w:rsid w:val="00FD0BBA"/>
    <w:rsid w:val="00FD0C22"/>
    <w:rsid w:val="00FD0C3B"/>
    <w:rsid w:val="00FD0EAA"/>
    <w:rsid w:val="00FD1068"/>
    <w:rsid w:val="00FD16D0"/>
    <w:rsid w:val="00FD1973"/>
    <w:rsid w:val="00FD1AFB"/>
    <w:rsid w:val="00FD1D8D"/>
    <w:rsid w:val="00FD26D2"/>
    <w:rsid w:val="00FD2879"/>
    <w:rsid w:val="00FD34F0"/>
    <w:rsid w:val="00FD3BCF"/>
    <w:rsid w:val="00FD4E5D"/>
    <w:rsid w:val="00FD5067"/>
    <w:rsid w:val="00FD69E8"/>
    <w:rsid w:val="00FD6A19"/>
    <w:rsid w:val="00FD75BC"/>
    <w:rsid w:val="00FD7AB8"/>
    <w:rsid w:val="00FE01AE"/>
    <w:rsid w:val="00FE057F"/>
    <w:rsid w:val="00FE06ED"/>
    <w:rsid w:val="00FE0C63"/>
    <w:rsid w:val="00FE1064"/>
    <w:rsid w:val="00FE1E57"/>
    <w:rsid w:val="00FE2763"/>
    <w:rsid w:val="00FE2E74"/>
    <w:rsid w:val="00FE3153"/>
    <w:rsid w:val="00FE3327"/>
    <w:rsid w:val="00FE357C"/>
    <w:rsid w:val="00FE3FB8"/>
    <w:rsid w:val="00FE41B8"/>
    <w:rsid w:val="00FE4729"/>
    <w:rsid w:val="00FE4ABC"/>
    <w:rsid w:val="00FE4D3E"/>
    <w:rsid w:val="00FE4F0E"/>
    <w:rsid w:val="00FE5490"/>
    <w:rsid w:val="00FE6BAD"/>
    <w:rsid w:val="00FE78A7"/>
    <w:rsid w:val="00FE7C80"/>
    <w:rsid w:val="00FF13F8"/>
    <w:rsid w:val="00FF2F94"/>
    <w:rsid w:val="00FF35C5"/>
    <w:rsid w:val="00FF37B2"/>
    <w:rsid w:val="00FF4164"/>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paragraph" w:customStyle="1" w:styleId="ReferenceInternalOrdered">
    <w:name w:val="Reference Internal Ordered"/>
    <w:basedOn w:val="ReferenceOrdered"/>
    <w:rsid w:val="007616A0"/>
    <w:pPr>
      <w:numPr>
        <w:numId w:val="50"/>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1764739">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9A562E-52EF-46CE-AC60-6640877022EB}"/>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2038</Words>
  <Characters>13678</Characters>
  <Application>Microsoft Office Word</Application>
  <DocSecurity>0</DocSecurity>
  <Lines>244</Lines>
  <Paragraphs>160</Paragraphs>
  <ScaleCrop>false</ScaleCrop>
  <HeadingPairs>
    <vt:vector size="2" baseType="variant">
      <vt:variant>
        <vt:lpstr>Title</vt:lpstr>
      </vt:variant>
      <vt:variant>
        <vt:i4>1</vt:i4>
      </vt:variant>
    </vt:vector>
  </HeadingPairs>
  <TitlesOfParts>
    <vt:vector size="1" baseType="lpstr">
      <vt:lpstr>octreotide products SGM 1734-A</vt:lpstr>
    </vt:vector>
  </TitlesOfParts>
  <Company>PCS Health Systems</Company>
  <LinksUpToDate>false</LinksUpToDate>
  <CharactersWithSpaces>15556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octreotide products SGM 1734-A</dc:title>
  <dc:subject/>
  <dc:creator>CVS Caremark</dc:creator>
  <cp:keywords/>
  <cp:lastModifiedBy>Huerta, Linda M</cp:lastModifiedBy>
  <cp:revision>7</cp:revision>
  <cp:lastPrinted>2018-01-09T08:01:00Z</cp:lastPrinted>
  <dcterms:created xsi:type="dcterms:W3CDTF">2025-03-17T20:03:00Z</dcterms:created>
  <dcterms:modified xsi:type="dcterms:W3CDTF">2025-03-17T22:18:00Z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